
<file path=[Content_Types].xml><?xml version="1.0" encoding="utf-8"?>
<Types xmlns="http://schemas.openxmlformats.org/package/2006/content-types">
  <Default Extension="bin" ContentType="application/vnd.openxmlformats-officedocument.oleObject"/>
  <Default Extension="w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CB0" w:rsidRDefault="00881CB0" w:rsidP="00881CB0">
      <w:pPr>
        <w:keepNext/>
        <w:spacing w:line="480" w:lineRule="auto"/>
        <w:jc w:val="center"/>
        <w:rPr>
          <w:rFonts w:ascii="Garamond" w:hAnsi="Garamond"/>
          <w:b/>
          <w:bCs/>
          <w:sz w:val="28"/>
          <w:szCs w:val="28"/>
          <w:lang w:eastAsia="pl-PL"/>
        </w:rPr>
      </w:pPr>
      <w:bookmarkStart w:id="0" w:name="_GoBack"/>
      <w:bookmarkEnd w:id="0"/>
      <w:r>
        <w:rPr>
          <w:rFonts w:ascii="Garamond" w:hAnsi="Garamond"/>
          <w:b/>
          <w:bCs/>
          <w:sz w:val="28"/>
          <w:szCs w:val="28"/>
          <w:lang w:eastAsia="pl-PL"/>
        </w:rPr>
        <w:t>MINISTERSTWO SPRAWIEDLIWOŚCI</w:t>
      </w:r>
    </w:p>
    <w:p w:rsidR="00881CB0" w:rsidRDefault="00881CB0" w:rsidP="00881CB0">
      <w:pPr>
        <w:pStyle w:val="Standard"/>
        <w:keepNext/>
        <w:spacing w:after="0" w:line="480" w:lineRule="auto"/>
        <w:jc w:val="center"/>
        <w:rPr>
          <w:rFonts w:ascii="Garamond" w:hAnsi="Garamond"/>
          <w:b/>
          <w:bCs/>
          <w:sz w:val="28"/>
          <w:szCs w:val="28"/>
          <w:lang w:eastAsia="pl-PL"/>
        </w:rPr>
      </w:pPr>
    </w:p>
    <w:p w:rsidR="00881CB0" w:rsidRDefault="00881CB0" w:rsidP="00881CB0">
      <w:pPr>
        <w:pStyle w:val="Standard"/>
        <w:keepNext/>
        <w:spacing w:after="0" w:line="480" w:lineRule="auto"/>
        <w:jc w:val="center"/>
        <w:rPr>
          <w:rFonts w:ascii="Garamond" w:hAnsi="Garamond"/>
          <w:b/>
          <w:bCs/>
          <w:sz w:val="28"/>
          <w:szCs w:val="28"/>
          <w:lang w:eastAsia="pl-PL"/>
        </w:rPr>
      </w:pPr>
    </w:p>
    <w:p w:rsidR="00881CB0" w:rsidRDefault="00881CB0" w:rsidP="00881CB0">
      <w:pPr>
        <w:pStyle w:val="Standard"/>
        <w:keepNext/>
        <w:spacing w:after="0" w:line="480" w:lineRule="auto"/>
        <w:jc w:val="center"/>
        <w:rPr>
          <w:rFonts w:ascii="Garamond" w:hAnsi="Garamond"/>
          <w:b/>
          <w:bCs/>
          <w:sz w:val="28"/>
          <w:szCs w:val="28"/>
          <w:lang w:eastAsia="pl-PL"/>
        </w:rPr>
      </w:pPr>
    </w:p>
    <w:p w:rsidR="00881CB0" w:rsidRDefault="00881CB0" w:rsidP="00881CB0">
      <w:pPr>
        <w:pStyle w:val="Standard"/>
        <w:keepNext/>
        <w:spacing w:after="0" w:line="480" w:lineRule="auto"/>
        <w:rPr>
          <w:rFonts w:ascii="Garamond" w:hAnsi="Garamond"/>
          <w:b/>
          <w:bCs/>
          <w:sz w:val="28"/>
          <w:szCs w:val="28"/>
          <w:lang w:eastAsia="pl-PL"/>
        </w:rPr>
      </w:pPr>
    </w:p>
    <w:p w:rsidR="00881CB0" w:rsidRDefault="00881CB0" w:rsidP="00881CB0">
      <w:pPr>
        <w:pStyle w:val="Standard"/>
        <w:keepNext/>
        <w:spacing w:after="0" w:line="480" w:lineRule="auto"/>
        <w:jc w:val="center"/>
        <w:rPr>
          <w:rFonts w:ascii="Garamond" w:hAnsi="Garamond"/>
          <w:b/>
          <w:bCs/>
          <w:sz w:val="28"/>
          <w:szCs w:val="28"/>
          <w:lang w:eastAsia="pl-PL"/>
        </w:rPr>
      </w:pPr>
      <w:r>
        <w:rPr>
          <w:rFonts w:ascii="Garamond" w:hAnsi="Garamond"/>
          <w:b/>
          <w:bCs/>
          <w:sz w:val="28"/>
          <w:szCs w:val="28"/>
          <w:lang w:eastAsia="pl-PL"/>
        </w:rPr>
        <w:t>INFORMACJA</w:t>
      </w:r>
    </w:p>
    <w:p w:rsidR="00881CB0" w:rsidRDefault="00881CB0" w:rsidP="00881CB0">
      <w:pPr>
        <w:pStyle w:val="Standard"/>
        <w:keepNext/>
        <w:spacing w:after="0" w:line="360" w:lineRule="auto"/>
        <w:jc w:val="center"/>
        <w:rPr>
          <w:rFonts w:ascii="Garamond" w:hAnsi="Garamond"/>
          <w:b/>
          <w:bCs/>
          <w:sz w:val="28"/>
          <w:szCs w:val="28"/>
          <w:lang w:eastAsia="pl-PL"/>
        </w:rPr>
      </w:pPr>
      <w:r>
        <w:rPr>
          <w:rFonts w:ascii="Garamond" w:hAnsi="Garamond"/>
          <w:b/>
          <w:bCs/>
          <w:sz w:val="28"/>
          <w:szCs w:val="28"/>
          <w:lang w:eastAsia="pl-PL"/>
        </w:rPr>
        <w:t>o sposobie przyjmowania i załatwiania skarg i wniosków skierowanych do Ministerstwa Sprawiedliwości i organów Służby Więziennej w 2016 roku</w:t>
      </w: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rPr>
          <w:rFonts w:ascii="Garamond" w:hAnsi="Garamond"/>
          <w:b/>
          <w:bCs/>
          <w:sz w:val="28"/>
          <w:szCs w:val="28"/>
          <w:lang w:eastAsia="pl-PL"/>
        </w:rPr>
      </w:pPr>
    </w:p>
    <w:p w:rsidR="00881CB0" w:rsidRDefault="00881CB0" w:rsidP="00881CB0">
      <w:pPr>
        <w:pStyle w:val="Standard"/>
        <w:keepNext/>
        <w:spacing w:after="0" w:line="240" w:lineRule="auto"/>
        <w:rPr>
          <w:rFonts w:ascii="Garamond" w:hAnsi="Garamond"/>
          <w:b/>
          <w:bCs/>
          <w:sz w:val="28"/>
          <w:szCs w:val="28"/>
          <w:lang w:eastAsia="pl-PL"/>
        </w:rPr>
      </w:pPr>
    </w:p>
    <w:p w:rsidR="00881CB0" w:rsidRDefault="00881CB0" w:rsidP="00881CB0">
      <w:pPr>
        <w:pStyle w:val="Standard"/>
        <w:keepNext/>
        <w:spacing w:after="0" w:line="240" w:lineRule="auto"/>
        <w:rPr>
          <w:rFonts w:ascii="Garamond" w:hAnsi="Garamond"/>
          <w:b/>
          <w:bCs/>
          <w:sz w:val="28"/>
          <w:szCs w:val="28"/>
          <w:lang w:eastAsia="pl-PL"/>
        </w:rPr>
      </w:pPr>
    </w:p>
    <w:p w:rsidR="00881CB0" w:rsidRDefault="00881CB0" w:rsidP="00881CB0">
      <w:pPr>
        <w:pStyle w:val="Standard"/>
        <w:keepNext/>
        <w:spacing w:after="0" w:line="240" w:lineRule="auto"/>
        <w:rPr>
          <w:rFonts w:ascii="Garamond" w:hAnsi="Garamond"/>
          <w:b/>
          <w:bCs/>
          <w:sz w:val="28"/>
          <w:szCs w:val="28"/>
          <w:lang w:eastAsia="pl-PL"/>
        </w:rPr>
      </w:pPr>
    </w:p>
    <w:p w:rsidR="00881CB0" w:rsidRDefault="00881CB0" w:rsidP="00881CB0">
      <w:pPr>
        <w:pStyle w:val="Standard"/>
        <w:keepNext/>
        <w:spacing w:after="0" w:line="240" w:lineRule="auto"/>
        <w:rPr>
          <w:rFonts w:ascii="Garamond" w:hAnsi="Garamond"/>
          <w:b/>
          <w:bCs/>
          <w:sz w:val="28"/>
          <w:szCs w:val="28"/>
          <w:lang w:eastAsia="pl-PL"/>
        </w:rPr>
      </w:pPr>
    </w:p>
    <w:p w:rsidR="00881CB0" w:rsidRDefault="00881CB0" w:rsidP="00881CB0">
      <w:pPr>
        <w:pStyle w:val="Standard"/>
        <w:keepNext/>
        <w:spacing w:after="0" w:line="240" w:lineRule="auto"/>
        <w:rPr>
          <w:rFonts w:ascii="Garamond" w:hAnsi="Garamond"/>
          <w:b/>
          <w:bCs/>
          <w:sz w:val="28"/>
          <w:szCs w:val="28"/>
          <w:lang w:eastAsia="pl-PL"/>
        </w:rPr>
      </w:pPr>
    </w:p>
    <w:p w:rsidR="00881CB0" w:rsidRDefault="00881CB0" w:rsidP="00881CB0">
      <w:pPr>
        <w:pStyle w:val="Standard"/>
        <w:keepNext/>
        <w:spacing w:after="0" w:line="240" w:lineRule="auto"/>
        <w:rPr>
          <w:rFonts w:ascii="Garamond" w:hAnsi="Garamond"/>
          <w:b/>
          <w:bCs/>
          <w:sz w:val="28"/>
          <w:szCs w:val="28"/>
          <w:lang w:eastAsia="pl-PL"/>
        </w:rPr>
      </w:pPr>
    </w:p>
    <w:p w:rsidR="00881CB0" w:rsidRDefault="00881CB0" w:rsidP="00881CB0">
      <w:pPr>
        <w:pStyle w:val="Standard"/>
        <w:keepNext/>
        <w:spacing w:after="0" w:line="240" w:lineRule="auto"/>
        <w:rPr>
          <w:rFonts w:ascii="Garamond" w:hAnsi="Garamond"/>
          <w:b/>
          <w:bCs/>
          <w:sz w:val="28"/>
          <w:szCs w:val="28"/>
          <w:lang w:eastAsia="pl-PL"/>
        </w:rPr>
      </w:pPr>
    </w:p>
    <w:p w:rsidR="00881CB0" w:rsidRDefault="00881CB0" w:rsidP="00881CB0">
      <w:pPr>
        <w:pStyle w:val="Standard"/>
        <w:keepNext/>
        <w:spacing w:after="0" w:line="240" w:lineRule="auto"/>
        <w:rPr>
          <w:rFonts w:ascii="Garamond" w:hAnsi="Garamond"/>
          <w:b/>
          <w:bCs/>
          <w:sz w:val="28"/>
          <w:szCs w:val="28"/>
          <w:lang w:eastAsia="pl-PL"/>
        </w:rPr>
      </w:pPr>
    </w:p>
    <w:p w:rsidR="00881CB0" w:rsidRDefault="00881CB0" w:rsidP="00881CB0">
      <w:pPr>
        <w:pStyle w:val="Standard"/>
        <w:keepNext/>
        <w:spacing w:after="0" w:line="240" w:lineRule="auto"/>
        <w:rPr>
          <w:rFonts w:ascii="Garamond" w:hAnsi="Garamond"/>
          <w:b/>
          <w:bCs/>
          <w:sz w:val="28"/>
          <w:szCs w:val="28"/>
          <w:lang w:eastAsia="pl-PL"/>
        </w:rPr>
      </w:pPr>
    </w:p>
    <w:p w:rsidR="00881CB0" w:rsidRDefault="00881CB0" w:rsidP="00881CB0">
      <w:pPr>
        <w:pStyle w:val="Standard"/>
        <w:keepNext/>
        <w:spacing w:after="0" w:line="240" w:lineRule="auto"/>
        <w:rPr>
          <w:rFonts w:ascii="Garamond" w:hAnsi="Garamond"/>
          <w:b/>
          <w:bCs/>
          <w:sz w:val="28"/>
          <w:szCs w:val="28"/>
          <w:lang w:eastAsia="pl-PL"/>
        </w:rPr>
      </w:pPr>
    </w:p>
    <w:p w:rsidR="00514BBD" w:rsidRDefault="00514BBD" w:rsidP="00881CB0">
      <w:pPr>
        <w:pStyle w:val="Standard"/>
        <w:keepNext/>
        <w:spacing w:after="0" w:line="240" w:lineRule="auto"/>
        <w:rPr>
          <w:rFonts w:ascii="Garamond" w:hAnsi="Garamond"/>
          <w:b/>
          <w:bCs/>
          <w:sz w:val="28"/>
          <w:szCs w:val="28"/>
          <w:lang w:eastAsia="pl-PL"/>
        </w:rPr>
      </w:pPr>
    </w:p>
    <w:p w:rsidR="00881CB0" w:rsidRDefault="00881CB0" w:rsidP="00AA4429">
      <w:pPr>
        <w:pStyle w:val="Standard"/>
        <w:keepNext/>
        <w:spacing w:after="0" w:line="240" w:lineRule="auto"/>
        <w:jc w:val="center"/>
        <w:rPr>
          <w:rFonts w:ascii="Garamond" w:hAnsi="Garamond"/>
          <w:b/>
          <w:bCs/>
          <w:sz w:val="28"/>
          <w:szCs w:val="28"/>
          <w:lang w:eastAsia="pl-PL"/>
        </w:rPr>
      </w:pPr>
      <w:r>
        <w:rPr>
          <w:rFonts w:ascii="Garamond" w:hAnsi="Garamond"/>
          <w:b/>
          <w:bCs/>
          <w:sz w:val="28"/>
          <w:szCs w:val="28"/>
          <w:lang w:eastAsia="pl-PL"/>
        </w:rPr>
        <w:t>Warszawa, 2017</w:t>
      </w:r>
    </w:p>
    <w:p w:rsidR="00AA4429" w:rsidRDefault="00AA4429" w:rsidP="00AA4429">
      <w:pPr>
        <w:pStyle w:val="Standard"/>
        <w:keepNext/>
        <w:spacing w:after="0" w:line="240" w:lineRule="auto"/>
        <w:jc w:val="center"/>
        <w:rPr>
          <w:rFonts w:ascii="Garamond" w:hAnsi="Garamond"/>
          <w:b/>
          <w:bCs/>
          <w:sz w:val="28"/>
          <w:szCs w:val="28"/>
          <w:lang w:eastAsia="pl-PL"/>
        </w:rPr>
      </w:pPr>
    </w:p>
    <w:p w:rsidR="00881CB0" w:rsidRDefault="00881CB0" w:rsidP="00881CB0">
      <w:pPr>
        <w:pStyle w:val="Standard"/>
        <w:keepNext/>
        <w:spacing w:after="0" w:line="240" w:lineRule="auto"/>
        <w:rPr>
          <w:rFonts w:ascii="Garamond" w:hAnsi="Garamond"/>
          <w:b/>
          <w:bCs/>
          <w:sz w:val="28"/>
          <w:szCs w:val="28"/>
          <w:lang w:eastAsia="pl-PL"/>
        </w:rPr>
      </w:pPr>
    </w:p>
    <w:p w:rsidR="00881CB0" w:rsidRDefault="00881CB0" w:rsidP="00AA4429">
      <w:pPr>
        <w:pStyle w:val="Standard"/>
        <w:keepNext/>
        <w:spacing w:after="0" w:line="360" w:lineRule="auto"/>
        <w:jc w:val="center"/>
        <w:rPr>
          <w:rFonts w:ascii="Garamond" w:hAnsi="Garamond"/>
          <w:b/>
          <w:bCs/>
          <w:sz w:val="28"/>
          <w:szCs w:val="28"/>
          <w:lang w:eastAsia="pl-PL"/>
        </w:rPr>
      </w:pPr>
      <w:r>
        <w:rPr>
          <w:rFonts w:ascii="Garamond" w:hAnsi="Garamond"/>
          <w:b/>
          <w:bCs/>
          <w:sz w:val="28"/>
          <w:szCs w:val="28"/>
          <w:lang w:eastAsia="pl-PL"/>
        </w:rPr>
        <w:lastRenderedPageBreak/>
        <w:t>SPIS TREŚCI</w:t>
      </w:r>
    </w:p>
    <w:p w:rsidR="00514BBD" w:rsidRDefault="00514BBD" w:rsidP="00881CB0">
      <w:pPr>
        <w:pStyle w:val="Standard"/>
        <w:keepNext/>
        <w:spacing w:after="0" w:line="360" w:lineRule="auto"/>
        <w:rPr>
          <w:rFonts w:ascii="Garamond" w:hAnsi="Garamond"/>
          <w:b/>
          <w:bCs/>
          <w:sz w:val="28"/>
          <w:szCs w:val="28"/>
          <w:lang w:eastAsia="pl-PL"/>
        </w:rPr>
      </w:pPr>
    </w:p>
    <w:p w:rsidR="00881CB0" w:rsidRDefault="00881CB0" w:rsidP="00881CB0">
      <w:pPr>
        <w:pStyle w:val="Akapitzlist"/>
        <w:keepNext/>
        <w:numPr>
          <w:ilvl w:val="0"/>
          <w:numId w:val="1"/>
        </w:numPr>
        <w:spacing w:after="0" w:line="360" w:lineRule="auto"/>
      </w:pPr>
      <w:r>
        <w:rPr>
          <w:rFonts w:ascii="Garamond" w:hAnsi="Garamond"/>
          <w:b/>
          <w:bCs/>
          <w:sz w:val="28"/>
          <w:szCs w:val="28"/>
          <w:lang w:eastAsia="pl-PL"/>
        </w:rPr>
        <w:t xml:space="preserve">Wstęp                                                                                            </w:t>
      </w:r>
      <w:r w:rsidR="00350BC3">
        <w:rPr>
          <w:rFonts w:ascii="Garamond" w:hAnsi="Garamond"/>
          <w:b/>
          <w:bCs/>
          <w:sz w:val="28"/>
          <w:szCs w:val="28"/>
          <w:lang w:eastAsia="pl-PL"/>
        </w:rPr>
        <w:t xml:space="preserve"> </w:t>
      </w:r>
      <w:r w:rsidR="00AA4429">
        <w:rPr>
          <w:rFonts w:ascii="Garamond" w:hAnsi="Garamond"/>
          <w:b/>
          <w:bCs/>
          <w:sz w:val="28"/>
          <w:szCs w:val="28"/>
          <w:lang w:eastAsia="pl-PL"/>
        </w:rPr>
        <w:t xml:space="preserve"> </w:t>
      </w:r>
      <w:r w:rsidR="00350BC3">
        <w:rPr>
          <w:rFonts w:ascii="Garamond" w:hAnsi="Garamond"/>
          <w:b/>
          <w:bCs/>
          <w:sz w:val="28"/>
          <w:szCs w:val="28"/>
          <w:lang w:eastAsia="pl-PL"/>
        </w:rPr>
        <w:t xml:space="preserve">  </w:t>
      </w:r>
      <w:r>
        <w:rPr>
          <w:rFonts w:ascii="Garamond" w:hAnsi="Garamond"/>
          <w:bCs/>
          <w:sz w:val="28"/>
          <w:szCs w:val="28"/>
          <w:lang w:eastAsia="pl-PL"/>
        </w:rPr>
        <w:t>3</w:t>
      </w:r>
    </w:p>
    <w:p w:rsidR="00881CB0" w:rsidRDefault="00881CB0" w:rsidP="00881CB0">
      <w:pPr>
        <w:pStyle w:val="Akapitzlist"/>
        <w:keepNext/>
        <w:numPr>
          <w:ilvl w:val="0"/>
          <w:numId w:val="1"/>
        </w:numPr>
        <w:spacing w:after="0" w:line="360" w:lineRule="auto"/>
      </w:pPr>
      <w:r>
        <w:rPr>
          <w:rFonts w:ascii="Garamond" w:hAnsi="Garamond"/>
          <w:b/>
          <w:bCs/>
          <w:sz w:val="28"/>
          <w:szCs w:val="28"/>
          <w:lang w:eastAsia="pl-PL"/>
        </w:rPr>
        <w:t xml:space="preserve">Ministerstwo Sprawiedliwości                                                     </w:t>
      </w:r>
      <w:r w:rsidR="00ED1F26">
        <w:rPr>
          <w:rFonts w:ascii="Garamond" w:hAnsi="Garamond"/>
          <w:b/>
          <w:bCs/>
          <w:sz w:val="28"/>
          <w:szCs w:val="28"/>
          <w:lang w:eastAsia="pl-PL"/>
        </w:rPr>
        <w:t xml:space="preserve"> </w:t>
      </w:r>
      <w:r w:rsidR="00AA4429">
        <w:rPr>
          <w:rFonts w:ascii="Garamond" w:hAnsi="Garamond"/>
          <w:b/>
          <w:bCs/>
          <w:sz w:val="28"/>
          <w:szCs w:val="28"/>
          <w:lang w:eastAsia="pl-PL"/>
        </w:rPr>
        <w:t xml:space="preserve">  </w:t>
      </w:r>
      <w:r>
        <w:rPr>
          <w:rFonts w:ascii="Garamond" w:hAnsi="Garamond"/>
          <w:bCs/>
          <w:sz w:val="28"/>
          <w:szCs w:val="28"/>
          <w:lang w:eastAsia="pl-PL"/>
        </w:rPr>
        <w:t>3</w:t>
      </w:r>
    </w:p>
    <w:p w:rsidR="00881CB0" w:rsidRDefault="00881CB0" w:rsidP="00881CB0">
      <w:pPr>
        <w:pStyle w:val="Akapitzlist"/>
        <w:keepNext/>
        <w:numPr>
          <w:ilvl w:val="0"/>
          <w:numId w:val="3"/>
        </w:numPr>
        <w:spacing w:line="360" w:lineRule="auto"/>
        <w:rPr>
          <w:rFonts w:ascii="Garamond" w:hAnsi="Garamond"/>
          <w:bCs/>
          <w:sz w:val="26"/>
          <w:szCs w:val="26"/>
          <w:lang w:eastAsia="pl-PL"/>
        </w:rPr>
      </w:pPr>
      <w:r>
        <w:rPr>
          <w:rFonts w:ascii="Garamond" w:hAnsi="Garamond"/>
          <w:bCs/>
          <w:sz w:val="26"/>
          <w:szCs w:val="26"/>
          <w:lang w:eastAsia="pl-PL"/>
        </w:rPr>
        <w:t xml:space="preserve">Wpływ skarg i wniosków do Ministerstwa Sprawiedliwości                                </w:t>
      </w:r>
      <w:r w:rsidR="00ED1F26">
        <w:rPr>
          <w:rFonts w:ascii="Garamond" w:hAnsi="Garamond"/>
          <w:bCs/>
          <w:sz w:val="26"/>
          <w:szCs w:val="26"/>
          <w:lang w:eastAsia="pl-PL"/>
        </w:rPr>
        <w:t xml:space="preserve"> </w:t>
      </w:r>
      <w:r w:rsidR="00AA4429">
        <w:rPr>
          <w:rFonts w:ascii="Garamond" w:hAnsi="Garamond"/>
          <w:bCs/>
          <w:sz w:val="26"/>
          <w:szCs w:val="26"/>
          <w:lang w:eastAsia="pl-PL"/>
        </w:rPr>
        <w:t xml:space="preserve">  </w:t>
      </w:r>
      <w:r>
        <w:rPr>
          <w:rFonts w:ascii="Garamond" w:hAnsi="Garamond"/>
          <w:bCs/>
          <w:sz w:val="26"/>
          <w:szCs w:val="26"/>
          <w:lang w:eastAsia="pl-PL"/>
        </w:rPr>
        <w:t>3</w:t>
      </w:r>
    </w:p>
    <w:p w:rsidR="00881CB0" w:rsidRDefault="00881CB0" w:rsidP="00881CB0">
      <w:pPr>
        <w:pStyle w:val="Akapitzlist"/>
        <w:keepNext/>
        <w:numPr>
          <w:ilvl w:val="0"/>
          <w:numId w:val="3"/>
        </w:numPr>
        <w:spacing w:line="360" w:lineRule="auto"/>
        <w:rPr>
          <w:rFonts w:ascii="Garamond" w:hAnsi="Garamond"/>
          <w:bCs/>
          <w:sz w:val="26"/>
          <w:szCs w:val="26"/>
          <w:lang w:eastAsia="pl-PL"/>
        </w:rPr>
      </w:pPr>
      <w:r>
        <w:rPr>
          <w:rFonts w:ascii="Garamond" w:hAnsi="Garamond"/>
          <w:bCs/>
          <w:sz w:val="26"/>
          <w:szCs w:val="26"/>
          <w:lang w:eastAsia="pl-PL"/>
        </w:rPr>
        <w:t xml:space="preserve">Zestawienie załatwionych skarg i wniosków w rozbiciu na grupy problemowe ze szczegółową ich charakterystyką                                                                         </w:t>
      </w:r>
      <w:r w:rsidR="00ED1F26">
        <w:rPr>
          <w:rFonts w:ascii="Garamond" w:hAnsi="Garamond"/>
          <w:bCs/>
          <w:sz w:val="26"/>
          <w:szCs w:val="26"/>
          <w:lang w:eastAsia="pl-PL"/>
        </w:rPr>
        <w:t xml:space="preserve"> </w:t>
      </w:r>
      <w:r>
        <w:rPr>
          <w:rFonts w:ascii="Garamond" w:hAnsi="Garamond"/>
          <w:bCs/>
          <w:sz w:val="26"/>
          <w:szCs w:val="26"/>
          <w:lang w:eastAsia="pl-PL"/>
        </w:rPr>
        <w:t xml:space="preserve"> 5</w:t>
      </w:r>
    </w:p>
    <w:p w:rsidR="00881CB0" w:rsidRDefault="00881CB0" w:rsidP="00881CB0">
      <w:pPr>
        <w:pStyle w:val="Akapitzlist"/>
        <w:keepNext/>
        <w:numPr>
          <w:ilvl w:val="0"/>
          <w:numId w:val="3"/>
        </w:numPr>
        <w:tabs>
          <w:tab w:val="left" w:pos="6869"/>
        </w:tabs>
        <w:spacing w:line="360" w:lineRule="auto"/>
        <w:rPr>
          <w:rFonts w:ascii="Garamond" w:hAnsi="Garamond"/>
          <w:bCs/>
          <w:sz w:val="26"/>
          <w:szCs w:val="26"/>
          <w:lang w:eastAsia="pl-PL"/>
        </w:rPr>
      </w:pPr>
      <w:r>
        <w:rPr>
          <w:rFonts w:ascii="Garamond" w:hAnsi="Garamond"/>
          <w:bCs/>
          <w:sz w:val="26"/>
          <w:szCs w:val="26"/>
          <w:lang w:eastAsia="pl-PL"/>
        </w:rPr>
        <w:t xml:space="preserve">Informacja o sposobie załatwienia skarg i wniosków                                          </w:t>
      </w:r>
      <w:r w:rsidR="00ED1F26">
        <w:rPr>
          <w:rFonts w:ascii="Garamond" w:hAnsi="Garamond"/>
          <w:bCs/>
          <w:sz w:val="26"/>
          <w:szCs w:val="26"/>
          <w:lang w:eastAsia="pl-PL"/>
        </w:rPr>
        <w:t xml:space="preserve"> </w:t>
      </w:r>
      <w:r>
        <w:rPr>
          <w:rFonts w:ascii="Garamond" w:hAnsi="Garamond"/>
          <w:bCs/>
          <w:sz w:val="26"/>
          <w:szCs w:val="26"/>
          <w:lang w:eastAsia="pl-PL"/>
        </w:rPr>
        <w:t>1</w:t>
      </w:r>
      <w:r w:rsidR="004F6412">
        <w:rPr>
          <w:rFonts w:ascii="Garamond" w:hAnsi="Garamond"/>
          <w:bCs/>
          <w:sz w:val="26"/>
          <w:szCs w:val="26"/>
          <w:lang w:eastAsia="pl-PL"/>
        </w:rPr>
        <w:t>0</w:t>
      </w:r>
    </w:p>
    <w:p w:rsidR="00881CB0" w:rsidRDefault="00881CB0" w:rsidP="00881CB0">
      <w:pPr>
        <w:pStyle w:val="Akapitzlist"/>
        <w:keepNext/>
        <w:numPr>
          <w:ilvl w:val="0"/>
          <w:numId w:val="3"/>
        </w:numPr>
        <w:tabs>
          <w:tab w:val="left" w:pos="5035"/>
        </w:tabs>
        <w:spacing w:line="360" w:lineRule="auto"/>
        <w:rPr>
          <w:rFonts w:ascii="Garamond" w:hAnsi="Garamond"/>
          <w:bCs/>
          <w:sz w:val="26"/>
          <w:szCs w:val="26"/>
          <w:lang w:eastAsia="pl-PL"/>
        </w:rPr>
      </w:pPr>
      <w:r>
        <w:rPr>
          <w:rFonts w:ascii="Garamond" w:hAnsi="Garamond"/>
          <w:bCs/>
          <w:sz w:val="26"/>
          <w:szCs w:val="26"/>
          <w:lang w:eastAsia="pl-PL"/>
        </w:rPr>
        <w:t xml:space="preserve">Informacja o terminowości załatwienia skarg i wniosków z uwzględnieniem przyczyn przeterminowań                                                      </w:t>
      </w:r>
      <w:r w:rsidR="002D073C">
        <w:rPr>
          <w:rFonts w:ascii="Garamond" w:hAnsi="Garamond"/>
          <w:bCs/>
          <w:sz w:val="26"/>
          <w:szCs w:val="26"/>
          <w:lang w:eastAsia="pl-PL"/>
        </w:rPr>
        <w:t xml:space="preserve">                              17</w:t>
      </w:r>
    </w:p>
    <w:p w:rsidR="00881CB0" w:rsidRDefault="00881CB0" w:rsidP="00881CB0">
      <w:pPr>
        <w:pStyle w:val="Akapitzlist"/>
        <w:keepNext/>
        <w:numPr>
          <w:ilvl w:val="0"/>
          <w:numId w:val="3"/>
        </w:numPr>
        <w:spacing w:line="360" w:lineRule="auto"/>
        <w:rPr>
          <w:rFonts w:ascii="Garamond" w:hAnsi="Garamond"/>
          <w:bCs/>
          <w:sz w:val="26"/>
          <w:szCs w:val="26"/>
          <w:lang w:eastAsia="pl-PL"/>
        </w:rPr>
      </w:pPr>
      <w:r>
        <w:rPr>
          <w:rFonts w:ascii="Garamond" w:hAnsi="Garamond"/>
          <w:bCs/>
          <w:sz w:val="26"/>
          <w:szCs w:val="26"/>
          <w:lang w:eastAsia="pl-PL"/>
        </w:rPr>
        <w:t xml:space="preserve">Charakterystyka ilościowa i tematyczna przyjęć interesantów w sprawach skarg       i wniosków                                                                            </w:t>
      </w:r>
      <w:r w:rsidR="002D073C">
        <w:rPr>
          <w:rFonts w:ascii="Garamond" w:hAnsi="Garamond"/>
          <w:bCs/>
          <w:sz w:val="26"/>
          <w:szCs w:val="26"/>
          <w:lang w:eastAsia="pl-PL"/>
        </w:rPr>
        <w:t xml:space="preserve">                              19</w:t>
      </w:r>
    </w:p>
    <w:p w:rsidR="00881CB0" w:rsidRDefault="00881CB0" w:rsidP="00881CB0">
      <w:pPr>
        <w:pStyle w:val="Akapitzlist"/>
        <w:keepNext/>
        <w:spacing w:after="0" w:line="360" w:lineRule="auto"/>
      </w:pPr>
      <w:r>
        <w:rPr>
          <w:rFonts w:ascii="Garamond" w:hAnsi="Garamond"/>
          <w:bCs/>
          <w:sz w:val="28"/>
          <w:szCs w:val="28"/>
          <w:lang w:eastAsia="pl-PL"/>
        </w:rPr>
        <w:t>III</w:t>
      </w:r>
      <w:r>
        <w:rPr>
          <w:rFonts w:ascii="Garamond" w:hAnsi="Garamond"/>
          <w:b/>
          <w:bCs/>
          <w:sz w:val="28"/>
          <w:szCs w:val="28"/>
          <w:lang w:eastAsia="pl-PL"/>
        </w:rPr>
        <w:t xml:space="preserve">. Służba Więzienna                                                                              </w:t>
      </w:r>
      <w:r w:rsidR="00EB0B12">
        <w:rPr>
          <w:rFonts w:ascii="Garamond" w:hAnsi="Garamond"/>
          <w:bCs/>
          <w:sz w:val="28"/>
          <w:szCs w:val="28"/>
          <w:lang w:eastAsia="pl-PL"/>
        </w:rPr>
        <w:t>23</w:t>
      </w:r>
    </w:p>
    <w:p w:rsidR="00881CB0" w:rsidRDefault="00881CB0" w:rsidP="00881CB0">
      <w:pPr>
        <w:pStyle w:val="Akapitzlist"/>
        <w:keepNext/>
        <w:numPr>
          <w:ilvl w:val="0"/>
          <w:numId w:val="4"/>
        </w:numPr>
        <w:spacing w:line="360" w:lineRule="auto"/>
        <w:rPr>
          <w:rFonts w:ascii="Garamond" w:hAnsi="Garamond"/>
          <w:bCs/>
          <w:sz w:val="26"/>
          <w:szCs w:val="26"/>
          <w:lang w:eastAsia="pl-PL"/>
        </w:rPr>
      </w:pPr>
      <w:r>
        <w:rPr>
          <w:rFonts w:ascii="Garamond" w:hAnsi="Garamond"/>
          <w:bCs/>
          <w:sz w:val="26"/>
          <w:szCs w:val="26"/>
          <w:lang w:eastAsia="pl-PL"/>
        </w:rPr>
        <w:t xml:space="preserve">Wstęp                                                                                    </w:t>
      </w:r>
      <w:r w:rsidR="00EB0B12">
        <w:rPr>
          <w:rFonts w:ascii="Garamond" w:hAnsi="Garamond"/>
          <w:bCs/>
          <w:sz w:val="26"/>
          <w:szCs w:val="26"/>
          <w:lang w:eastAsia="pl-PL"/>
        </w:rPr>
        <w:t xml:space="preserve">                              23</w:t>
      </w:r>
    </w:p>
    <w:p w:rsidR="00881CB0" w:rsidRDefault="00881CB0" w:rsidP="00881CB0">
      <w:pPr>
        <w:pStyle w:val="Akapitzlist"/>
        <w:keepNext/>
        <w:numPr>
          <w:ilvl w:val="0"/>
          <w:numId w:val="4"/>
        </w:numPr>
        <w:spacing w:line="360" w:lineRule="auto"/>
        <w:rPr>
          <w:rFonts w:ascii="Garamond" w:hAnsi="Garamond"/>
          <w:bCs/>
          <w:sz w:val="26"/>
          <w:szCs w:val="26"/>
          <w:lang w:eastAsia="pl-PL"/>
        </w:rPr>
      </w:pPr>
      <w:r>
        <w:rPr>
          <w:rFonts w:ascii="Garamond" w:hAnsi="Garamond"/>
          <w:bCs/>
          <w:sz w:val="26"/>
          <w:szCs w:val="26"/>
          <w:lang w:eastAsia="pl-PL"/>
        </w:rPr>
        <w:t xml:space="preserve">Charakterystyka ilościowa skarg, próśb i wniosków                </w:t>
      </w:r>
      <w:r w:rsidR="00EB0B12">
        <w:rPr>
          <w:rFonts w:ascii="Garamond" w:hAnsi="Garamond"/>
          <w:bCs/>
          <w:sz w:val="26"/>
          <w:szCs w:val="26"/>
          <w:lang w:eastAsia="pl-PL"/>
        </w:rPr>
        <w:t xml:space="preserve">                              23</w:t>
      </w:r>
    </w:p>
    <w:p w:rsidR="00881CB0" w:rsidRDefault="00881CB0" w:rsidP="00881CB0">
      <w:pPr>
        <w:pStyle w:val="Akapitzlist"/>
        <w:keepNext/>
        <w:numPr>
          <w:ilvl w:val="0"/>
          <w:numId w:val="4"/>
        </w:numPr>
        <w:spacing w:line="360" w:lineRule="auto"/>
        <w:jc w:val="both"/>
        <w:rPr>
          <w:rFonts w:ascii="Garamond" w:hAnsi="Garamond"/>
          <w:bCs/>
          <w:sz w:val="26"/>
          <w:szCs w:val="26"/>
          <w:lang w:eastAsia="pl-PL"/>
        </w:rPr>
      </w:pPr>
      <w:r>
        <w:rPr>
          <w:rFonts w:ascii="Garamond" w:hAnsi="Garamond"/>
          <w:bCs/>
          <w:sz w:val="26"/>
          <w:szCs w:val="26"/>
          <w:lang w:eastAsia="pl-PL"/>
        </w:rPr>
        <w:t>Zestawienie załatwionych przez organy Służby Więziennej skarg i wniosków,           w rozbiciu na grupy problemowe ze szczegółową ich cha</w:t>
      </w:r>
      <w:r w:rsidR="00EB0B12">
        <w:rPr>
          <w:rFonts w:ascii="Garamond" w:hAnsi="Garamond"/>
          <w:bCs/>
          <w:sz w:val="26"/>
          <w:szCs w:val="26"/>
          <w:lang w:eastAsia="pl-PL"/>
        </w:rPr>
        <w:t>rakterystyką                  25</w:t>
      </w:r>
    </w:p>
    <w:p w:rsidR="00881CB0" w:rsidRDefault="00881CB0" w:rsidP="00881CB0">
      <w:pPr>
        <w:pStyle w:val="Akapitzlist"/>
        <w:keepNext/>
        <w:numPr>
          <w:ilvl w:val="0"/>
          <w:numId w:val="4"/>
        </w:numPr>
        <w:spacing w:line="360" w:lineRule="auto"/>
        <w:rPr>
          <w:rFonts w:ascii="Garamond" w:hAnsi="Garamond"/>
          <w:bCs/>
          <w:sz w:val="26"/>
          <w:szCs w:val="26"/>
          <w:lang w:eastAsia="pl-PL"/>
        </w:rPr>
      </w:pPr>
      <w:r>
        <w:rPr>
          <w:rFonts w:ascii="Garamond" w:hAnsi="Garamond"/>
          <w:bCs/>
          <w:sz w:val="26"/>
          <w:szCs w:val="26"/>
          <w:lang w:eastAsia="pl-PL"/>
        </w:rPr>
        <w:t xml:space="preserve">Przyjęcia interesantów przez kierowników jednostek organizacyjnych Służby Więziennej                                                                             </w:t>
      </w:r>
      <w:r w:rsidR="00EB0B12">
        <w:rPr>
          <w:rFonts w:ascii="Garamond" w:hAnsi="Garamond"/>
          <w:bCs/>
          <w:sz w:val="26"/>
          <w:szCs w:val="26"/>
          <w:lang w:eastAsia="pl-PL"/>
        </w:rPr>
        <w:t xml:space="preserve">                              31</w:t>
      </w:r>
    </w:p>
    <w:p w:rsidR="00881CB0" w:rsidRDefault="00881CB0" w:rsidP="00881CB0">
      <w:pPr>
        <w:pStyle w:val="Akapitzlist"/>
        <w:keepNext/>
        <w:numPr>
          <w:ilvl w:val="0"/>
          <w:numId w:val="4"/>
        </w:numPr>
        <w:spacing w:line="360" w:lineRule="auto"/>
        <w:rPr>
          <w:rFonts w:ascii="Garamond" w:hAnsi="Garamond"/>
          <w:bCs/>
          <w:sz w:val="26"/>
          <w:szCs w:val="26"/>
          <w:lang w:eastAsia="pl-PL"/>
        </w:rPr>
      </w:pPr>
      <w:r>
        <w:rPr>
          <w:rFonts w:ascii="Garamond" w:hAnsi="Garamond"/>
          <w:bCs/>
          <w:sz w:val="26"/>
          <w:szCs w:val="26"/>
          <w:lang w:eastAsia="pl-PL"/>
        </w:rPr>
        <w:t xml:space="preserve">Skargi załatwione pozytywnie w wyniku stwierdzonych błędów bądź uchybień         i podjęte w tym zakresie działania                                                                       </w:t>
      </w:r>
      <w:r w:rsidR="00EB0B12">
        <w:rPr>
          <w:rFonts w:ascii="Garamond" w:hAnsi="Garamond"/>
          <w:bCs/>
          <w:sz w:val="26"/>
          <w:szCs w:val="26"/>
          <w:lang w:eastAsia="pl-PL"/>
        </w:rPr>
        <w:t xml:space="preserve"> 31</w:t>
      </w:r>
    </w:p>
    <w:p w:rsidR="00881CB0" w:rsidRDefault="00881CB0" w:rsidP="00881CB0">
      <w:pPr>
        <w:pStyle w:val="Akapitzlist"/>
        <w:keepNext/>
        <w:numPr>
          <w:ilvl w:val="0"/>
          <w:numId w:val="4"/>
        </w:numPr>
        <w:spacing w:line="360" w:lineRule="auto"/>
        <w:rPr>
          <w:rFonts w:ascii="Garamond" w:hAnsi="Garamond"/>
          <w:bCs/>
          <w:sz w:val="26"/>
          <w:szCs w:val="26"/>
          <w:lang w:eastAsia="pl-PL"/>
        </w:rPr>
      </w:pPr>
      <w:r>
        <w:rPr>
          <w:rFonts w:ascii="Garamond" w:hAnsi="Garamond"/>
          <w:bCs/>
          <w:sz w:val="26"/>
          <w:szCs w:val="26"/>
          <w:lang w:eastAsia="pl-PL"/>
        </w:rPr>
        <w:t xml:space="preserve">Terminowość załatwiania skarg i wniosków                           </w:t>
      </w:r>
      <w:r w:rsidR="00EB0B12">
        <w:rPr>
          <w:rFonts w:ascii="Garamond" w:hAnsi="Garamond"/>
          <w:bCs/>
          <w:sz w:val="26"/>
          <w:szCs w:val="26"/>
          <w:lang w:eastAsia="pl-PL"/>
        </w:rPr>
        <w:t xml:space="preserve">                              55</w:t>
      </w:r>
    </w:p>
    <w:p w:rsidR="00881CB0" w:rsidRDefault="00881CB0" w:rsidP="00881CB0">
      <w:pPr>
        <w:pStyle w:val="Akapitzlist"/>
        <w:keepNext/>
        <w:numPr>
          <w:ilvl w:val="0"/>
          <w:numId w:val="4"/>
        </w:numPr>
        <w:spacing w:line="360" w:lineRule="auto"/>
        <w:rPr>
          <w:rFonts w:ascii="Garamond" w:hAnsi="Garamond"/>
          <w:bCs/>
          <w:sz w:val="26"/>
          <w:szCs w:val="26"/>
          <w:lang w:eastAsia="pl-PL"/>
        </w:rPr>
      </w:pPr>
      <w:r>
        <w:rPr>
          <w:rFonts w:ascii="Garamond" w:hAnsi="Garamond"/>
          <w:bCs/>
          <w:sz w:val="26"/>
          <w:szCs w:val="26"/>
          <w:lang w:eastAsia="pl-PL"/>
        </w:rPr>
        <w:t xml:space="preserve">Zastosowanie środków dyscyplinujących wobec osób winnych zaniedbań, ujawnionych w wyniku uznania skargi za zasadną                                      </w:t>
      </w:r>
      <w:r w:rsidR="00EB0B12">
        <w:rPr>
          <w:rFonts w:ascii="Garamond" w:hAnsi="Garamond"/>
          <w:bCs/>
          <w:sz w:val="26"/>
          <w:szCs w:val="26"/>
          <w:lang w:eastAsia="pl-PL"/>
        </w:rPr>
        <w:t xml:space="preserve">          56</w:t>
      </w:r>
    </w:p>
    <w:p w:rsidR="00881CB0" w:rsidRDefault="00881CB0" w:rsidP="00881CB0">
      <w:pPr>
        <w:pStyle w:val="Akapitzlist"/>
        <w:keepNext/>
        <w:numPr>
          <w:ilvl w:val="0"/>
          <w:numId w:val="4"/>
        </w:numPr>
        <w:spacing w:line="360" w:lineRule="auto"/>
        <w:rPr>
          <w:rFonts w:ascii="Garamond" w:hAnsi="Garamond"/>
          <w:bCs/>
          <w:sz w:val="26"/>
          <w:szCs w:val="26"/>
          <w:lang w:eastAsia="pl-PL"/>
        </w:rPr>
      </w:pPr>
      <w:r>
        <w:rPr>
          <w:rFonts w:ascii="Garamond" w:hAnsi="Garamond"/>
          <w:bCs/>
          <w:sz w:val="26"/>
          <w:szCs w:val="26"/>
          <w:lang w:eastAsia="pl-PL"/>
        </w:rPr>
        <w:t xml:space="preserve">Podsumowanie i wnioski                                                       </w:t>
      </w:r>
      <w:r w:rsidR="00EB0B12">
        <w:rPr>
          <w:rFonts w:ascii="Garamond" w:hAnsi="Garamond"/>
          <w:bCs/>
          <w:sz w:val="26"/>
          <w:szCs w:val="26"/>
          <w:lang w:eastAsia="pl-PL"/>
        </w:rPr>
        <w:t xml:space="preserve">                              57</w:t>
      </w:r>
    </w:p>
    <w:p w:rsidR="00514BBD" w:rsidRDefault="00514BBD" w:rsidP="00881CB0">
      <w:pPr>
        <w:pStyle w:val="Standard"/>
        <w:spacing w:after="0" w:line="480" w:lineRule="auto"/>
        <w:jc w:val="center"/>
        <w:rPr>
          <w:rFonts w:ascii="Garamond" w:hAnsi="Garamond"/>
          <w:b/>
          <w:bCs/>
          <w:sz w:val="28"/>
          <w:szCs w:val="28"/>
          <w:lang w:eastAsia="pl-PL"/>
        </w:rPr>
      </w:pPr>
    </w:p>
    <w:p w:rsidR="00514BBD" w:rsidRDefault="00514BBD" w:rsidP="00B972E6">
      <w:pPr>
        <w:pStyle w:val="Standard"/>
        <w:spacing w:after="0" w:line="480" w:lineRule="auto"/>
        <w:rPr>
          <w:rFonts w:ascii="Garamond" w:hAnsi="Garamond"/>
          <w:b/>
          <w:bCs/>
          <w:sz w:val="28"/>
          <w:szCs w:val="28"/>
          <w:lang w:eastAsia="pl-PL"/>
        </w:rPr>
      </w:pPr>
    </w:p>
    <w:p w:rsidR="00B972E6" w:rsidRDefault="00B972E6" w:rsidP="00B972E6">
      <w:pPr>
        <w:pStyle w:val="Standard"/>
        <w:spacing w:after="0" w:line="480" w:lineRule="auto"/>
        <w:rPr>
          <w:rFonts w:ascii="Garamond" w:hAnsi="Garamond"/>
          <w:b/>
          <w:bCs/>
          <w:sz w:val="28"/>
          <w:szCs w:val="28"/>
          <w:lang w:eastAsia="pl-PL"/>
        </w:rPr>
      </w:pPr>
    </w:p>
    <w:p w:rsidR="00881CB0" w:rsidRDefault="00881CB0" w:rsidP="00881CB0">
      <w:pPr>
        <w:pStyle w:val="Standard"/>
        <w:spacing w:after="0" w:line="480" w:lineRule="auto"/>
        <w:jc w:val="center"/>
        <w:rPr>
          <w:rFonts w:ascii="Garamond" w:hAnsi="Garamond"/>
          <w:b/>
          <w:bCs/>
          <w:sz w:val="28"/>
          <w:szCs w:val="28"/>
          <w:lang w:eastAsia="pl-PL"/>
        </w:rPr>
      </w:pPr>
      <w:r>
        <w:rPr>
          <w:rFonts w:ascii="Garamond" w:hAnsi="Garamond"/>
          <w:b/>
          <w:bCs/>
          <w:sz w:val="28"/>
          <w:szCs w:val="28"/>
          <w:lang w:eastAsia="pl-PL"/>
        </w:rPr>
        <w:t>I. WSTĘP</w:t>
      </w:r>
    </w:p>
    <w:p w:rsidR="00514BBD" w:rsidRDefault="00514BBD" w:rsidP="00881CB0">
      <w:pPr>
        <w:pStyle w:val="Standard"/>
        <w:spacing w:after="0" w:line="480" w:lineRule="auto"/>
        <w:jc w:val="center"/>
        <w:rPr>
          <w:rFonts w:ascii="Garamond" w:hAnsi="Garamond"/>
          <w:b/>
          <w:bCs/>
          <w:sz w:val="28"/>
          <w:szCs w:val="28"/>
          <w:lang w:eastAsia="pl-PL"/>
        </w:rPr>
      </w:pPr>
    </w:p>
    <w:p w:rsidR="00881CB0" w:rsidRDefault="00881CB0" w:rsidP="00881CB0">
      <w:pPr>
        <w:pStyle w:val="Standard"/>
        <w:keepNext/>
        <w:spacing w:after="0" w:line="360" w:lineRule="auto"/>
        <w:ind w:firstLine="708"/>
        <w:jc w:val="both"/>
        <w:rPr>
          <w:rFonts w:ascii="Garamond" w:hAnsi="Garamond"/>
          <w:bCs/>
          <w:sz w:val="28"/>
          <w:szCs w:val="28"/>
          <w:lang w:eastAsia="pl-PL"/>
        </w:rPr>
      </w:pPr>
      <w:r>
        <w:rPr>
          <w:rFonts w:ascii="Garamond" w:hAnsi="Garamond"/>
          <w:bCs/>
          <w:sz w:val="28"/>
          <w:szCs w:val="28"/>
          <w:lang w:eastAsia="pl-PL"/>
        </w:rPr>
        <w:t>Zgodnie z art. 63 Konstytucji Rzeczypospolitej Polskiej, każdy ma prawo skł</w:t>
      </w:r>
      <w:r w:rsidR="000D1586">
        <w:rPr>
          <w:rFonts w:ascii="Garamond" w:hAnsi="Garamond"/>
          <w:bCs/>
          <w:sz w:val="28"/>
          <w:szCs w:val="28"/>
          <w:lang w:eastAsia="pl-PL"/>
        </w:rPr>
        <w:t xml:space="preserve">adać petycje, wnioski i skargi </w:t>
      </w:r>
      <w:r>
        <w:rPr>
          <w:rFonts w:ascii="Garamond" w:hAnsi="Garamond"/>
          <w:bCs/>
          <w:sz w:val="28"/>
          <w:szCs w:val="28"/>
          <w:lang w:eastAsia="pl-PL"/>
        </w:rPr>
        <w:t xml:space="preserve">w interesie publicznym, własnym lub innej osoby </w:t>
      </w:r>
      <w:r>
        <w:rPr>
          <w:rFonts w:ascii="Garamond" w:hAnsi="Garamond"/>
          <w:bCs/>
          <w:sz w:val="28"/>
          <w:szCs w:val="28"/>
          <w:lang w:eastAsia="pl-PL"/>
        </w:rPr>
        <w:br/>
        <w:t>za jej zgodą do organów władzy publicznej oraz do organizacji i instytucji społecznych w związku z wykonywanymi przez nie zadaniami zleconymi z zakresu administracji publicznej.</w:t>
      </w:r>
    </w:p>
    <w:p w:rsidR="00881CB0" w:rsidRDefault="00881CB0" w:rsidP="00881CB0">
      <w:pPr>
        <w:pStyle w:val="Standard"/>
        <w:spacing w:after="0" w:line="336" w:lineRule="auto"/>
        <w:jc w:val="both"/>
        <w:rPr>
          <w:rFonts w:ascii="Garamond" w:hAnsi="Garamond"/>
          <w:sz w:val="28"/>
          <w:szCs w:val="28"/>
          <w:lang w:eastAsia="pl-PL"/>
        </w:rPr>
      </w:pPr>
      <w:r>
        <w:rPr>
          <w:rFonts w:ascii="Garamond" w:hAnsi="Garamond"/>
          <w:sz w:val="28"/>
          <w:szCs w:val="28"/>
          <w:lang w:eastAsia="pl-PL"/>
        </w:rPr>
        <w:tab/>
        <w:t>Instytucja skarg jest cennym źródłem wiedzy o społecznym odbiorze wymiaru sprawiedliwości i nieprawidłowościach zaistniałych w jednostkach organizacyjnych resortu oraz w organach nie związanych z działalnością resortu.</w:t>
      </w:r>
    </w:p>
    <w:p w:rsidR="00881CB0" w:rsidRDefault="00881CB0" w:rsidP="00881CB0">
      <w:pPr>
        <w:pStyle w:val="Standard"/>
        <w:spacing w:after="0" w:line="336" w:lineRule="auto"/>
        <w:jc w:val="both"/>
      </w:pPr>
      <w:r>
        <w:rPr>
          <w:rFonts w:ascii="Garamond" w:hAnsi="Garamond"/>
          <w:sz w:val="28"/>
          <w:szCs w:val="28"/>
          <w:lang w:eastAsia="pl-PL"/>
        </w:rPr>
        <w:tab/>
        <w:t xml:space="preserve">W związku z nowelizacją ustawy – </w:t>
      </w:r>
      <w:r>
        <w:rPr>
          <w:rFonts w:ascii="Garamond" w:hAnsi="Garamond"/>
          <w:i/>
          <w:sz w:val="28"/>
          <w:szCs w:val="28"/>
          <w:lang w:eastAsia="pl-PL"/>
        </w:rPr>
        <w:t>Prawo o ustroju sądów powszechnych</w:t>
      </w:r>
      <w:r>
        <w:rPr>
          <w:rFonts w:ascii="Garamond" w:hAnsi="Garamond"/>
          <w:sz w:val="28"/>
          <w:szCs w:val="28"/>
          <w:lang w:eastAsia="pl-PL"/>
        </w:rPr>
        <w:t xml:space="preserve"> ustawą </w:t>
      </w:r>
      <w:r>
        <w:rPr>
          <w:rFonts w:ascii="Garamond" w:hAnsi="Garamond"/>
          <w:sz w:val="28"/>
          <w:szCs w:val="28"/>
          <w:lang w:eastAsia="pl-PL"/>
        </w:rPr>
        <w:br/>
        <w:t xml:space="preserve">z dnia 18 sierpnia 2011 r. o zmianie ustawy – </w:t>
      </w:r>
      <w:r>
        <w:rPr>
          <w:rFonts w:ascii="Garamond" w:hAnsi="Garamond"/>
          <w:i/>
          <w:sz w:val="28"/>
          <w:szCs w:val="28"/>
          <w:lang w:eastAsia="pl-PL"/>
        </w:rPr>
        <w:t xml:space="preserve">Prawo o ustroju sądów powszechnych oraz niektórych innych ustaw </w:t>
      </w:r>
      <w:r>
        <w:rPr>
          <w:rFonts w:ascii="Garamond" w:hAnsi="Garamond"/>
          <w:sz w:val="28"/>
          <w:szCs w:val="28"/>
          <w:lang w:eastAsia="pl-PL"/>
        </w:rPr>
        <w:t xml:space="preserve">rozpatrywanie skarg na działalność sądów powszechnych przejęli prezesi sądów (art. 41b). Od 28 marca 2012 r. takie skargi nadesłane </w:t>
      </w:r>
      <w:r w:rsidR="00B972E6">
        <w:rPr>
          <w:rFonts w:ascii="Garamond" w:hAnsi="Garamond"/>
          <w:sz w:val="28"/>
          <w:szCs w:val="28"/>
          <w:lang w:eastAsia="pl-PL"/>
        </w:rPr>
        <w:t xml:space="preserve">           </w:t>
      </w:r>
      <w:r>
        <w:rPr>
          <w:rFonts w:ascii="Garamond" w:hAnsi="Garamond"/>
          <w:sz w:val="28"/>
          <w:szCs w:val="28"/>
          <w:lang w:eastAsia="pl-PL"/>
        </w:rPr>
        <w:t>do Ministerstwa Sprawiedliwości przekazywane są do rozpatrzenia właściwym prezesom sądów.</w:t>
      </w:r>
    </w:p>
    <w:p w:rsidR="00881CB0" w:rsidRDefault="00881CB0" w:rsidP="00881CB0">
      <w:pPr>
        <w:pStyle w:val="Standard"/>
        <w:spacing w:after="0" w:line="336" w:lineRule="auto"/>
        <w:jc w:val="both"/>
        <w:rPr>
          <w:rFonts w:ascii="Garamond" w:hAnsi="Garamond"/>
          <w:sz w:val="28"/>
          <w:szCs w:val="28"/>
          <w:lang w:eastAsia="pl-PL"/>
        </w:rPr>
      </w:pPr>
      <w:r>
        <w:rPr>
          <w:rFonts w:ascii="Garamond" w:hAnsi="Garamond"/>
          <w:sz w:val="28"/>
          <w:szCs w:val="28"/>
          <w:lang w:eastAsia="pl-PL"/>
        </w:rPr>
        <w:tab/>
        <w:t xml:space="preserve">W 2016 r. wpłynęło do Ministerstwa Sprawiedliwości 48.245 skarg </w:t>
      </w:r>
      <w:r>
        <w:rPr>
          <w:rFonts w:ascii="Garamond" w:hAnsi="Garamond"/>
          <w:sz w:val="28"/>
          <w:szCs w:val="28"/>
          <w:lang w:eastAsia="pl-PL"/>
        </w:rPr>
        <w:br/>
        <w:t>i wniosków, a do organów Służby Więziennej 62.753 skargi i wnioski.</w:t>
      </w:r>
    </w:p>
    <w:p w:rsidR="00881CB0" w:rsidRDefault="00881CB0" w:rsidP="00881CB0">
      <w:pPr>
        <w:pStyle w:val="Standard"/>
        <w:spacing w:after="0" w:line="336" w:lineRule="auto"/>
        <w:jc w:val="both"/>
        <w:rPr>
          <w:rFonts w:ascii="Garamond" w:hAnsi="Garamond"/>
          <w:sz w:val="28"/>
          <w:szCs w:val="28"/>
          <w:lang w:eastAsia="pl-PL"/>
        </w:rPr>
      </w:pPr>
    </w:p>
    <w:p w:rsidR="00881CB0" w:rsidRDefault="00881CB0" w:rsidP="00881CB0">
      <w:pPr>
        <w:pStyle w:val="Standard"/>
        <w:spacing w:after="0" w:line="240" w:lineRule="auto"/>
        <w:rPr>
          <w:lang w:eastAsia="pl-PL"/>
        </w:rPr>
      </w:pPr>
    </w:p>
    <w:p w:rsidR="00881CB0" w:rsidRPr="00514BBD" w:rsidRDefault="00881CB0" w:rsidP="00514BBD">
      <w:pPr>
        <w:pStyle w:val="Standard"/>
        <w:keepNext/>
        <w:spacing w:before="120" w:after="120" w:line="480" w:lineRule="auto"/>
        <w:jc w:val="center"/>
        <w:rPr>
          <w:rFonts w:ascii="Garamond" w:hAnsi="Garamond"/>
          <w:b/>
          <w:bCs/>
          <w:sz w:val="28"/>
          <w:szCs w:val="28"/>
          <w:lang w:eastAsia="pl-PL"/>
        </w:rPr>
      </w:pPr>
      <w:r>
        <w:rPr>
          <w:rFonts w:ascii="Garamond" w:hAnsi="Garamond"/>
          <w:b/>
          <w:bCs/>
          <w:sz w:val="28"/>
          <w:szCs w:val="28"/>
          <w:lang w:eastAsia="pl-PL"/>
        </w:rPr>
        <w:t>II. MINISTERSTWO</w:t>
      </w:r>
    </w:p>
    <w:p w:rsidR="00881CB0" w:rsidRDefault="00881CB0" w:rsidP="00881CB0">
      <w:pPr>
        <w:pStyle w:val="Akapitzlist"/>
        <w:keepNext/>
        <w:numPr>
          <w:ilvl w:val="0"/>
          <w:numId w:val="2"/>
        </w:numPr>
        <w:spacing w:after="0" w:line="360" w:lineRule="auto"/>
        <w:jc w:val="center"/>
        <w:rPr>
          <w:rFonts w:ascii="Garamond" w:hAnsi="Garamond"/>
          <w:b/>
          <w:sz w:val="28"/>
          <w:szCs w:val="28"/>
          <w:lang w:eastAsia="pl-PL"/>
        </w:rPr>
      </w:pPr>
      <w:r>
        <w:rPr>
          <w:rFonts w:ascii="Garamond" w:hAnsi="Garamond"/>
          <w:b/>
          <w:sz w:val="28"/>
          <w:szCs w:val="28"/>
          <w:lang w:eastAsia="pl-PL"/>
        </w:rPr>
        <w:t>Wpływ skarg i wniosków do Ministerstwa Sprawiedliwości</w:t>
      </w:r>
    </w:p>
    <w:p w:rsidR="00881CB0" w:rsidRDefault="00881CB0" w:rsidP="00881CB0">
      <w:pPr>
        <w:pStyle w:val="Akapitzlist"/>
        <w:keepNext/>
        <w:spacing w:after="0" w:line="360" w:lineRule="auto"/>
        <w:rPr>
          <w:rFonts w:ascii="Garamond" w:hAnsi="Garamond"/>
          <w:b/>
          <w:sz w:val="28"/>
          <w:szCs w:val="28"/>
          <w:lang w:eastAsia="pl-PL"/>
        </w:rPr>
      </w:pPr>
    </w:p>
    <w:p w:rsidR="00881CB0" w:rsidRDefault="00881CB0" w:rsidP="00881CB0">
      <w:pPr>
        <w:pStyle w:val="Standard"/>
        <w:spacing w:line="360" w:lineRule="auto"/>
        <w:jc w:val="both"/>
        <w:rPr>
          <w:rFonts w:ascii="Garamond" w:hAnsi="Garamond"/>
          <w:sz w:val="28"/>
          <w:szCs w:val="28"/>
        </w:rPr>
      </w:pPr>
      <w:r>
        <w:rPr>
          <w:rFonts w:ascii="Garamond" w:hAnsi="Garamond"/>
          <w:b/>
          <w:sz w:val="28"/>
          <w:szCs w:val="28"/>
        </w:rPr>
        <w:tab/>
      </w:r>
      <w:r>
        <w:rPr>
          <w:rFonts w:ascii="Garamond" w:hAnsi="Garamond"/>
          <w:sz w:val="28"/>
          <w:szCs w:val="28"/>
        </w:rPr>
        <w:t>W 2016 r. skierowano do Ministerstwa Sprawiedliwości 48.245 skarg              i wniosków, tj. o 20.771 czyli 75,</w:t>
      </w:r>
      <w:r w:rsidR="00ED1F26">
        <w:rPr>
          <w:rFonts w:ascii="Garamond" w:hAnsi="Garamond"/>
          <w:sz w:val="28"/>
          <w:szCs w:val="28"/>
        </w:rPr>
        <w:t>6</w:t>
      </w:r>
      <w:r>
        <w:rPr>
          <w:rFonts w:ascii="Garamond" w:hAnsi="Garamond"/>
          <w:sz w:val="28"/>
          <w:szCs w:val="28"/>
        </w:rPr>
        <w:t>% więcej niż w poprzednim okresie sprawozdawczym (27.474).</w:t>
      </w:r>
    </w:p>
    <w:p w:rsidR="00881CB0" w:rsidRDefault="00881CB0" w:rsidP="00881CB0">
      <w:pPr>
        <w:pStyle w:val="Standard"/>
        <w:spacing w:line="360" w:lineRule="auto"/>
        <w:jc w:val="both"/>
        <w:rPr>
          <w:rFonts w:ascii="Garamond" w:hAnsi="Garamond"/>
          <w:sz w:val="28"/>
          <w:szCs w:val="28"/>
        </w:rPr>
      </w:pPr>
    </w:p>
    <w:p w:rsidR="00881CB0" w:rsidRDefault="00881CB0" w:rsidP="00881CB0">
      <w:pPr>
        <w:pStyle w:val="Standard"/>
        <w:spacing w:line="360" w:lineRule="auto"/>
        <w:jc w:val="both"/>
        <w:rPr>
          <w:rFonts w:ascii="Garamond" w:hAnsi="Garamond"/>
          <w:sz w:val="28"/>
          <w:szCs w:val="28"/>
        </w:rPr>
      </w:pPr>
      <w:r>
        <w:rPr>
          <w:noProof/>
          <w:lang w:eastAsia="pl-PL" w:bidi="ar-SA"/>
        </w:rPr>
        <w:lastRenderedPageBreak/>
        <w:drawing>
          <wp:inline distT="0" distB="0" distL="0" distR="0" wp14:anchorId="6E5BD274" wp14:editId="53A59497">
            <wp:extent cx="5542919" cy="2597152"/>
            <wp:effectExtent l="0" t="0" r="19685" b="1270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D073C" w:rsidRDefault="002D073C" w:rsidP="00881CB0">
      <w:pPr>
        <w:spacing w:line="360" w:lineRule="auto"/>
        <w:ind w:firstLine="709"/>
        <w:jc w:val="both"/>
        <w:rPr>
          <w:rFonts w:ascii="Garamond" w:hAnsi="Garamond" w:cs="Tahoma"/>
          <w:sz w:val="28"/>
          <w:szCs w:val="28"/>
          <w:lang w:eastAsia="en-US"/>
        </w:rPr>
      </w:pPr>
    </w:p>
    <w:p w:rsidR="00881CB0" w:rsidRPr="00881CB0" w:rsidRDefault="00881CB0" w:rsidP="00881CB0">
      <w:pPr>
        <w:spacing w:line="360" w:lineRule="auto"/>
        <w:ind w:firstLine="709"/>
        <w:jc w:val="both"/>
        <w:rPr>
          <w:rFonts w:cs="Tahoma"/>
          <w:lang w:eastAsia="en-US"/>
        </w:rPr>
      </w:pPr>
      <w:r w:rsidRPr="00881CB0">
        <w:rPr>
          <w:rFonts w:ascii="Garamond" w:hAnsi="Garamond" w:cs="Tahoma"/>
          <w:sz w:val="28"/>
          <w:szCs w:val="28"/>
          <w:lang w:eastAsia="en-US"/>
        </w:rPr>
        <w:t xml:space="preserve">Dokonana w listopadzie 2015 r zmiana na stanowisku Ministra Sprawiedliwości, b. duża popularność jaką cieszy się w społeczeństwie obecny Minister Sprawiedliwości, a nadto połączenie na mocy ustawy z dnia 28.01.2016 r. </w:t>
      </w:r>
      <w:r w:rsidRPr="00881CB0">
        <w:rPr>
          <w:rFonts w:ascii="Garamond" w:hAnsi="Garamond" w:cs="Tahoma"/>
          <w:i/>
          <w:iCs/>
          <w:sz w:val="28"/>
          <w:szCs w:val="28"/>
          <w:lang w:eastAsia="en-US"/>
        </w:rPr>
        <w:t>Prawo o</w:t>
      </w:r>
      <w:r w:rsidRPr="00881CB0">
        <w:rPr>
          <w:rFonts w:ascii="Garamond" w:hAnsi="Garamond" w:cs="Tahoma"/>
          <w:sz w:val="28"/>
          <w:szCs w:val="28"/>
          <w:lang w:eastAsia="en-US"/>
        </w:rPr>
        <w:t xml:space="preserve"> </w:t>
      </w:r>
      <w:r w:rsidRPr="00881CB0">
        <w:rPr>
          <w:rFonts w:ascii="Garamond" w:hAnsi="Garamond" w:cs="Tahoma"/>
          <w:i/>
          <w:iCs/>
          <w:sz w:val="28"/>
          <w:szCs w:val="28"/>
          <w:lang w:eastAsia="en-US"/>
        </w:rPr>
        <w:t>prokuraturze</w:t>
      </w:r>
      <w:r w:rsidRPr="00881CB0">
        <w:rPr>
          <w:rFonts w:ascii="Garamond" w:hAnsi="Garamond" w:cs="Tahoma"/>
          <w:sz w:val="28"/>
          <w:szCs w:val="28"/>
          <w:lang w:eastAsia="en-US"/>
        </w:rPr>
        <w:t xml:space="preserve"> funkcji Ministra Sprawiedliwości i Prokuratora Generalnego spowodowały lawinowy wpływ w 2016 r. do Ministerstwa Sprawiedliwości korespondencji skargowej od obywateli. Część korespondencji pochodziła od osób, które </w:t>
      </w:r>
      <w:r w:rsidR="008F27F1">
        <w:rPr>
          <w:rFonts w:ascii="Garamond" w:hAnsi="Garamond" w:cs="Tahoma"/>
          <w:sz w:val="28"/>
          <w:szCs w:val="28"/>
          <w:lang w:eastAsia="en-US"/>
        </w:rPr>
        <w:t>s</w:t>
      </w:r>
      <w:r w:rsidRPr="00881CB0">
        <w:rPr>
          <w:rFonts w:ascii="Garamond" w:hAnsi="Garamond" w:cs="Tahoma"/>
          <w:sz w:val="28"/>
          <w:szCs w:val="28"/>
          <w:lang w:eastAsia="en-US"/>
        </w:rPr>
        <w:t>kierowały do Ministerstwa Sprawiedliwości swoje wystąpienia także w latach poprzednich, lecz nie uzyskały oczekiwanej pomocy. Ponawiając skargi oczekiwały od nowego Ministra Sprawiedliwości ponownego zbadania sprawy i zajęcia pozytywnego dla nich stanowiska.</w:t>
      </w:r>
    </w:p>
    <w:p w:rsidR="00881CB0" w:rsidRPr="00881CB0" w:rsidRDefault="00881CB0" w:rsidP="00881CB0">
      <w:pPr>
        <w:spacing w:line="360" w:lineRule="auto"/>
        <w:jc w:val="both"/>
        <w:rPr>
          <w:rFonts w:ascii="Garamond" w:hAnsi="Garamond" w:cs="Tahoma"/>
          <w:sz w:val="28"/>
          <w:szCs w:val="28"/>
          <w:lang w:eastAsia="en-US"/>
        </w:rPr>
      </w:pPr>
      <w:r w:rsidRPr="00881CB0">
        <w:rPr>
          <w:rFonts w:ascii="Garamond" w:hAnsi="Garamond" w:cs="Tahoma"/>
          <w:sz w:val="28"/>
          <w:szCs w:val="28"/>
          <w:lang w:eastAsia="en-US"/>
        </w:rPr>
        <w:tab/>
        <w:t>W Wydziale Skarg i Wniosków Biura Kontroli i Audytu Wewnętrznego odnotowano wpływ 37.869 skarg i wniosków, tj. o</w:t>
      </w:r>
      <w:r w:rsidR="00ED1F26">
        <w:rPr>
          <w:rFonts w:ascii="Garamond" w:hAnsi="Garamond" w:cs="Tahoma"/>
          <w:sz w:val="28"/>
          <w:szCs w:val="28"/>
          <w:lang w:eastAsia="en-US"/>
        </w:rPr>
        <w:t xml:space="preserve"> 17.083 (82%) więcej niż             </w:t>
      </w:r>
      <w:r w:rsidRPr="00881CB0">
        <w:rPr>
          <w:rFonts w:ascii="Garamond" w:hAnsi="Garamond" w:cs="Tahoma"/>
          <w:sz w:val="28"/>
          <w:szCs w:val="28"/>
          <w:lang w:eastAsia="en-US"/>
        </w:rPr>
        <w:t>w 2015 r. (20.786), w Departamentach i Biurach – 10.376</w:t>
      </w:r>
      <w:r w:rsidR="00EB03A0">
        <w:rPr>
          <w:rFonts w:ascii="Garamond" w:hAnsi="Garamond" w:cs="Tahoma"/>
          <w:sz w:val="28"/>
          <w:szCs w:val="28"/>
          <w:lang w:eastAsia="en-US"/>
        </w:rPr>
        <w:t xml:space="preserve"> skarg i wniosków</w:t>
      </w:r>
      <w:r w:rsidRPr="00881CB0">
        <w:rPr>
          <w:rFonts w:ascii="Garamond" w:hAnsi="Garamond" w:cs="Tahoma"/>
          <w:sz w:val="28"/>
          <w:szCs w:val="28"/>
          <w:lang w:eastAsia="en-US"/>
        </w:rPr>
        <w:t xml:space="preserve">, tj. </w:t>
      </w:r>
      <w:r w:rsidR="00EB03A0">
        <w:rPr>
          <w:rFonts w:ascii="Garamond" w:hAnsi="Garamond" w:cs="Tahoma"/>
          <w:sz w:val="28"/>
          <w:szCs w:val="28"/>
          <w:lang w:eastAsia="en-US"/>
        </w:rPr>
        <w:t xml:space="preserve">         </w:t>
      </w:r>
      <w:r w:rsidRPr="00881CB0">
        <w:rPr>
          <w:rFonts w:ascii="Garamond" w:hAnsi="Garamond" w:cs="Tahoma"/>
          <w:sz w:val="28"/>
          <w:szCs w:val="28"/>
          <w:lang w:eastAsia="en-US"/>
        </w:rPr>
        <w:t>o 3.688 (55%) więcej niż w 2015 r. (6.688).</w:t>
      </w:r>
    </w:p>
    <w:p w:rsidR="00881CB0" w:rsidRPr="00881CB0" w:rsidRDefault="00881CB0" w:rsidP="00881CB0">
      <w:pPr>
        <w:spacing w:line="360" w:lineRule="auto"/>
        <w:jc w:val="both"/>
        <w:rPr>
          <w:rFonts w:ascii="Garamond" w:hAnsi="Garamond" w:cs="Tahoma"/>
          <w:sz w:val="28"/>
          <w:szCs w:val="28"/>
          <w:lang w:eastAsia="en-US"/>
        </w:rPr>
      </w:pPr>
      <w:r w:rsidRPr="00881CB0">
        <w:rPr>
          <w:rFonts w:ascii="Garamond" w:hAnsi="Garamond" w:cs="Tahoma"/>
          <w:sz w:val="28"/>
          <w:szCs w:val="28"/>
          <w:lang w:eastAsia="en-US"/>
        </w:rPr>
        <w:tab/>
        <w:t>Ponadto do Wydziału Skarg i Wniosków nadesłano 6.660 pism zakwalifikowanych jako korespondencja ogólna dotycząca m.in. działalności sądów.</w:t>
      </w:r>
    </w:p>
    <w:p w:rsidR="00881CB0" w:rsidRDefault="00881CB0" w:rsidP="00881CB0">
      <w:pPr>
        <w:spacing w:line="360" w:lineRule="auto"/>
        <w:jc w:val="both"/>
        <w:rPr>
          <w:rFonts w:ascii="Garamond" w:hAnsi="Garamond" w:cs="Tahoma"/>
          <w:sz w:val="28"/>
          <w:szCs w:val="28"/>
          <w:lang w:eastAsia="en-US"/>
        </w:rPr>
      </w:pPr>
      <w:r w:rsidRPr="00881CB0">
        <w:rPr>
          <w:rFonts w:ascii="Garamond" w:hAnsi="Garamond" w:cs="Tahoma"/>
          <w:sz w:val="28"/>
          <w:szCs w:val="28"/>
          <w:lang w:eastAsia="en-US"/>
        </w:rPr>
        <w:tab/>
        <w:t>Skargi i wnioski kierowano w zasadzie bezpośrednio do Ministerstwa Sprawiedliwości, niewielka ich część wpłynęła za pośrednictwem m.in. Kancelarii Prezesa Rady Ministrów, Kancelarii Prezydenta Rzeczypospolitej Polskiej, Biura Rzecznika Praw Obywatelskich lub Prokuratury Krajowej.</w:t>
      </w:r>
    </w:p>
    <w:p w:rsidR="00AA4429" w:rsidRPr="00881CB0" w:rsidRDefault="00AA4429" w:rsidP="00881CB0">
      <w:pPr>
        <w:spacing w:line="360" w:lineRule="auto"/>
        <w:jc w:val="both"/>
        <w:rPr>
          <w:rFonts w:ascii="Garamond" w:hAnsi="Garamond" w:cs="Tahoma"/>
          <w:sz w:val="28"/>
          <w:szCs w:val="28"/>
          <w:lang w:eastAsia="en-US"/>
        </w:rPr>
      </w:pPr>
    </w:p>
    <w:p w:rsid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lastRenderedPageBreak/>
        <w:t>Niektórzy skarżący kierowali skargi wielokrotnie np.: Roman B.-567,        Janusz M.-482, Tadeusz G.-335, Roman O.-312, Barbara K.-278, Maria G.-263, Bogdan M</w:t>
      </w:r>
      <w:r w:rsidR="00EB03A0">
        <w:rPr>
          <w:rFonts w:ascii="Garamond" w:hAnsi="Garamond" w:cs="Tahoma"/>
          <w:sz w:val="28"/>
          <w:szCs w:val="28"/>
          <w:lang w:eastAsia="en-US"/>
        </w:rPr>
        <w:t>.</w:t>
      </w:r>
      <w:r w:rsidRPr="00881CB0">
        <w:rPr>
          <w:rFonts w:ascii="Garamond" w:hAnsi="Garamond" w:cs="Tahoma"/>
          <w:sz w:val="28"/>
          <w:szCs w:val="28"/>
          <w:lang w:eastAsia="en-US"/>
        </w:rPr>
        <w:t>-209, Jan. K.-207, Leszek A.-192, Józef K.-179, Łukasz S.-174.</w:t>
      </w:r>
    </w:p>
    <w:p w:rsidR="00AA4429" w:rsidRPr="002D073C" w:rsidRDefault="00AA4429" w:rsidP="00881CB0">
      <w:pPr>
        <w:spacing w:line="360" w:lineRule="auto"/>
        <w:ind w:firstLine="708"/>
        <w:jc w:val="both"/>
        <w:rPr>
          <w:rFonts w:ascii="Garamond" w:hAnsi="Garamond" w:cs="Tahoma"/>
          <w:sz w:val="20"/>
          <w:szCs w:val="20"/>
          <w:lang w:eastAsia="en-US"/>
        </w:rPr>
      </w:pPr>
    </w:p>
    <w:p w:rsidR="00881CB0" w:rsidRPr="00881CB0" w:rsidRDefault="00881CB0" w:rsidP="00881CB0">
      <w:pPr>
        <w:spacing w:line="360" w:lineRule="auto"/>
        <w:jc w:val="center"/>
        <w:rPr>
          <w:rFonts w:ascii="Garamond" w:hAnsi="Garamond" w:cs="Tahoma"/>
          <w:b/>
          <w:sz w:val="28"/>
          <w:szCs w:val="28"/>
          <w:lang w:eastAsia="pl-PL"/>
        </w:rPr>
      </w:pPr>
      <w:r w:rsidRPr="00881CB0">
        <w:rPr>
          <w:rFonts w:ascii="Garamond" w:hAnsi="Garamond" w:cs="Tahoma"/>
          <w:b/>
          <w:sz w:val="28"/>
          <w:szCs w:val="28"/>
          <w:lang w:eastAsia="pl-PL"/>
        </w:rPr>
        <w:t>2. Zestawienie załatwionych skarg i wniosków</w:t>
      </w:r>
    </w:p>
    <w:p w:rsidR="00881CB0" w:rsidRDefault="00881CB0" w:rsidP="00881CB0">
      <w:pPr>
        <w:spacing w:line="360" w:lineRule="auto"/>
        <w:jc w:val="center"/>
        <w:rPr>
          <w:rFonts w:ascii="Garamond" w:hAnsi="Garamond" w:cs="Tahoma"/>
          <w:b/>
          <w:sz w:val="28"/>
          <w:szCs w:val="28"/>
          <w:lang w:eastAsia="pl-PL"/>
        </w:rPr>
      </w:pPr>
      <w:r w:rsidRPr="00881CB0">
        <w:rPr>
          <w:rFonts w:ascii="Garamond" w:hAnsi="Garamond" w:cs="Tahoma"/>
          <w:b/>
          <w:sz w:val="28"/>
          <w:szCs w:val="28"/>
          <w:lang w:eastAsia="pl-PL"/>
        </w:rPr>
        <w:t>w rozbiciu na grupy problemowe ze szczegółową ich charakterystyką</w:t>
      </w:r>
    </w:p>
    <w:p w:rsidR="00EB0B12" w:rsidRPr="00EB0B12" w:rsidRDefault="00EB0B12" w:rsidP="00881CB0">
      <w:pPr>
        <w:spacing w:line="360" w:lineRule="auto"/>
        <w:jc w:val="center"/>
        <w:rPr>
          <w:rFonts w:ascii="Garamond" w:hAnsi="Garamond" w:cs="Tahoma"/>
          <w:b/>
          <w:sz w:val="18"/>
          <w:szCs w:val="18"/>
          <w:lang w:eastAsia="pl-PL"/>
        </w:rPr>
      </w:pPr>
    </w:p>
    <w:p w:rsidR="00881CB0" w:rsidRPr="00881CB0" w:rsidRDefault="00881CB0" w:rsidP="00881CB0">
      <w:pPr>
        <w:spacing w:line="360" w:lineRule="auto"/>
        <w:jc w:val="both"/>
      </w:pPr>
      <w:r w:rsidRPr="00881CB0">
        <w:rPr>
          <w:noProof/>
          <w:lang w:eastAsia="pl-PL" w:bidi="ar-SA"/>
        </w:rPr>
        <w:drawing>
          <wp:inline distT="0" distB="0" distL="0" distR="0" wp14:anchorId="124246A4" wp14:editId="139CB6A1">
            <wp:extent cx="5827398" cy="5117467"/>
            <wp:effectExtent l="0" t="0" r="20955" b="26035"/>
            <wp:docPr id="2"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81CB0" w:rsidRPr="00EB0B12" w:rsidRDefault="00881CB0" w:rsidP="00881CB0">
      <w:pPr>
        <w:jc w:val="center"/>
        <w:rPr>
          <w:rFonts w:ascii="Garamond" w:hAnsi="Garamond" w:cs="Tahoma"/>
          <w:b/>
          <w:lang w:eastAsia="pl-PL"/>
        </w:rPr>
      </w:pPr>
    </w:p>
    <w:p w:rsidR="00881CB0" w:rsidRPr="00881CB0" w:rsidRDefault="00881CB0" w:rsidP="00881CB0">
      <w:pPr>
        <w:spacing w:after="200" w:line="360" w:lineRule="auto"/>
        <w:jc w:val="both"/>
        <w:rPr>
          <w:rFonts w:ascii="Garamond" w:hAnsi="Garamond" w:cs="Tahoma"/>
          <w:i/>
          <w:color w:val="000000"/>
          <w:sz w:val="28"/>
          <w:szCs w:val="28"/>
          <w:lang w:eastAsia="en-US"/>
        </w:rPr>
      </w:pPr>
      <w:r w:rsidRPr="00881CB0">
        <w:rPr>
          <w:rFonts w:ascii="Garamond" w:hAnsi="Garamond" w:cs="Tahoma"/>
          <w:i/>
          <w:color w:val="000000"/>
          <w:sz w:val="28"/>
          <w:szCs w:val="28"/>
          <w:lang w:eastAsia="en-US"/>
        </w:rPr>
        <w:t>W skargach na:</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t>przewlekłość postępowania</w:t>
      </w:r>
      <w:r w:rsidRPr="00881CB0">
        <w:rPr>
          <w:rFonts w:ascii="Garamond" w:hAnsi="Garamond" w:cs="Tahoma"/>
          <w:color w:val="000000"/>
          <w:sz w:val="28"/>
          <w:szCs w:val="28"/>
          <w:lang w:eastAsia="en-US"/>
        </w:rPr>
        <w:t xml:space="preserve"> przedmiotem zarzutów był zbyt długi czas trwania postępowań sądowych i egzekucyjnych, brak wyznaczenia pierwszego terminu rozprawy, opóźnienia w podejmowaniu czynności związanych </w:t>
      </w:r>
      <w:r w:rsidR="00ED1F26">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z rozpoznaniem sprawy, w tym w wy</w:t>
      </w:r>
      <w:r>
        <w:rPr>
          <w:rFonts w:ascii="Garamond" w:hAnsi="Garamond" w:cs="Tahoma"/>
          <w:color w:val="000000"/>
          <w:sz w:val="28"/>
          <w:szCs w:val="28"/>
          <w:lang w:eastAsia="en-US"/>
        </w:rPr>
        <w:t xml:space="preserve">dawaniu orzeczeń </w:t>
      </w:r>
      <w:r w:rsidRPr="00881CB0">
        <w:rPr>
          <w:rFonts w:ascii="Garamond" w:hAnsi="Garamond" w:cs="Tahoma"/>
          <w:color w:val="000000"/>
          <w:sz w:val="28"/>
          <w:szCs w:val="28"/>
          <w:lang w:eastAsia="en-US"/>
        </w:rPr>
        <w:t>w kwestiach incydentalnych, niedokładne wykonywanie zarządzeń przez sekretariat czy też nieterminowe sporządzanie uzasadnień;</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lastRenderedPageBreak/>
        <w:t xml:space="preserve">kulturę urzędowania </w:t>
      </w:r>
      <w:r w:rsidRPr="00881CB0">
        <w:rPr>
          <w:rFonts w:ascii="Garamond" w:hAnsi="Garamond" w:cs="Tahoma"/>
          <w:color w:val="000000"/>
          <w:sz w:val="28"/>
          <w:szCs w:val="28"/>
          <w:lang w:eastAsia="en-US"/>
        </w:rPr>
        <w:t>przedmiotem zarzutów było zachowanie sędziów</w:t>
      </w:r>
      <w:r w:rsidR="00ED1F26">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 xml:space="preserve"> lub pracowników sądów w stosu</w:t>
      </w:r>
      <w:r>
        <w:rPr>
          <w:rFonts w:ascii="Garamond" w:hAnsi="Garamond" w:cs="Tahoma"/>
          <w:color w:val="000000"/>
          <w:sz w:val="28"/>
          <w:szCs w:val="28"/>
          <w:lang w:eastAsia="en-US"/>
        </w:rPr>
        <w:t xml:space="preserve">nku do osób biorących udział </w:t>
      </w:r>
      <w:r w:rsidRPr="00881CB0">
        <w:rPr>
          <w:rFonts w:ascii="Garamond" w:hAnsi="Garamond" w:cs="Tahoma"/>
          <w:color w:val="000000"/>
          <w:sz w:val="28"/>
          <w:szCs w:val="28"/>
          <w:lang w:eastAsia="en-US"/>
        </w:rPr>
        <w:t>w czynnościach sądowych, przede wszystkim w czasie posiedzeń jawnych lub rozpraw. Autorzy pism zarzucali nieudzielenie im głosu, uniemożliwianie zgłaszania wniosków lub zadawania pytań, podnoszenie głosu na strony postępowania lub na świadków, niewłaściwe odnoszenie się do osób uczestniczących</w:t>
      </w:r>
      <w:r w:rsidR="00EB03A0">
        <w:rPr>
          <w:rFonts w:ascii="Garamond" w:hAnsi="Garamond" w:cs="Tahoma"/>
          <w:color w:val="000000"/>
          <w:sz w:val="28"/>
          <w:szCs w:val="28"/>
          <w:lang w:eastAsia="en-US"/>
        </w:rPr>
        <w:t xml:space="preserve"> w</w:t>
      </w:r>
      <w:r w:rsidRPr="00881CB0">
        <w:rPr>
          <w:rFonts w:ascii="Garamond" w:hAnsi="Garamond" w:cs="Tahoma"/>
          <w:color w:val="000000"/>
          <w:sz w:val="28"/>
          <w:szCs w:val="28"/>
          <w:lang w:eastAsia="en-US"/>
        </w:rPr>
        <w:t xml:space="preserve"> rozprawie;</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t>treść orzeczeń</w:t>
      </w:r>
      <w:r w:rsidRPr="00881CB0">
        <w:rPr>
          <w:rFonts w:ascii="Garamond" w:hAnsi="Garamond" w:cs="Tahoma"/>
          <w:color w:val="000000"/>
          <w:sz w:val="28"/>
          <w:szCs w:val="28"/>
          <w:lang w:eastAsia="en-US"/>
        </w:rPr>
        <w:t xml:space="preserve"> kwestionowano zasadność rozstrzygnięć zawartych               w orzeczeniach merytorycznie kończących postępowanie (w wyrokach, postanowieniach orzekających co do istoty sprawy), ja</w:t>
      </w:r>
      <w:r>
        <w:rPr>
          <w:rFonts w:ascii="Garamond" w:hAnsi="Garamond" w:cs="Tahoma"/>
          <w:color w:val="000000"/>
          <w:sz w:val="28"/>
          <w:szCs w:val="28"/>
          <w:lang w:eastAsia="en-US"/>
        </w:rPr>
        <w:t xml:space="preserve">k też </w:t>
      </w:r>
      <w:r w:rsidRPr="00881CB0">
        <w:rPr>
          <w:rFonts w:ascii="Garamond" w:hAnsi="Garamond" w:cs="Tahoma"/>
          <w:color w:val="000000"/>
          <w:sz w:val="28"/>
          <w:szCs w:val="28"/>
          <w:lang w:eastAsia="en-US"/>
        </w:rPr>
        <w:t xml:space="preserve">w postanowieniach incydentalnych, wydawanych w toku postępowań. Niezadowolenie odnosiło się również do negatywnego stanowiska sądu co do sposobu rozpoznania zgłoszonych przez skarżącego wniosków dowodowych i procesowych np. ustanowienia </w:t>
      </w:r>
      <w:r>
        <w:rPr>
          <w:rFonts w:ascii="Garamond" w:hAnsi="Garamond" w:cs="Tahoma"/>
          <w:color w:val="000000"/>
          <w:sz w:val="28"/>
          <w:szCs w:val="28"/>
          <w:lang w:eastAsia="en-US"/>
        </w:rPr>
        <w:t>obrońcy (pełnomocnika)</w:t>
      </w:r>
      <w:r w:rsidRPr="00881CB0">
        <w:rPr>
          <w:rFonts w:ascii="Garamond" w:hAnsi="Garamond" w:cs="Tahoma"/>
          <w:color w:val="000000"/>
          <w:sz w:val="28"/>
          <w:szCs w:val="28"/>
          <w:lang w:eastAsia="en-US"/>
        </w:rPr>
        <w:t xml:space="preserve"> z urzędu. Zarzuty dotyczyły każdego rodzaju postępowań: cywilnych, karnych, rodzinnych, wieczystoksięgowych, z zakresu prawa pracy                   i ubezpieczeń społecznych. Przedmiotem zarzutów były orzeczenia zarówno wydane w I, jak i II instancji, a bardzo często orzeczenia już dawno prawomocne </w:t>
      </w:r>
      <w:r>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 xml:space="preserve">w chwili składania skargi. Można wskazać, iż kierowanie tego rodzaju skarg wynikało z błędnego przekonania skarżących co do uprawnień Ministra Sprawiedliwości w zakresie zmiany bądź wzruszenia orzeczeń sądowych oraz co do możliwości nakazania sądom przez Ministra Sprawiedliwości wydania orzeczenia </w:t>
      </w:r>
      <w:r>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o treści oczekiwanej przez skarżących;</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t>wykonanie orzeczeń</w:t>
      </w:r>
      <w:r w:rsidRPr="00881CB0">
        <w:rPr>
          <w:rFonts w:ascii="Garamond" w:hAnsi="Garamond" w:cs="Tahoma"/>
          <w:color w:val="000000"/>
          <w:sz w:val="28"/>
          <w:szCs w:val="28"/>
          <w:lang w:eastAsia="en-US"/>
        </w:rPr>
        <w:t xml:space="preserve"> skarżący odbywający karę pozbawienia wolności kwestionowali odmowę udzielenia warunkowego przedterminowego zwolnienia, przerwy w karze, lub odroczenia wykonania kary. Skazani skarżyli się także na opiekę medyczną w zakładach karnych lub aresztach śledczych, czy na warunki odbywania kary pozbawienia wolności. Skarżący podnosili również kwestie trudności w realizowaniu orzecze</w:t>
      </w:r>
      <w:r>
        <w:rPr>
          <w:rFonts w:ascii="Garamond" w:hAnsi="Garamond" w:cs="Tahoma"/>
          <w:color w:val="000000"/>
          <w:sz w:val="28"/>
          <w:szCs w:val="28"/>
          <w:lang w:eastAsia="en-US"/>
        </w:rPr>
        <w:t xml:space="preserve">nia o kontaktach rodzica </w:t>
      </w:r>
      <w:r w:rsidRPr="00881CB0">
        <w:rPr>
          <w:rFonts w:ascii="Garamond" w:hAnsi="Garamond" w:cs="Tahoma"/>
          <w:color w:val="000000"/>
          <w:sz w:val="28"/>
          <w:szCs w:val="28"/>
          <w:lang w:eastAsia="en-US"/>
        </w:rPr>
        <w:t>z dzieckiem lub przymusowego odebrania dziecka w celu przekazania go osobie uprawnionej;</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t>czynności administracyjne kierowników jednostek</w:t>
      </w:r>
      <w:r w:rsidRPr="00881CB0">
        <w:rPr>
          <w:rFonts w:ascii="Garamond" w:hAnsi="Garamond" w:cs="Tahoma"/>
          <w:color w:val="000000"/>
          <w:sz w:val="28"/>
          <w:szCs w:val="28"/>
          <w:lang w:eastAsia="en-US"/>
        </w:rPr>
        <w:t xml:space="preserve"> zarzuty związane były z działalnością prezesów sądów oraz działających z ich upoważnienia sędziów-wizytatorów, jak również rzecznika dysc</w:t>
      </w:r>
      <w:r>
        <w:rPr>
          <w:rFonts w:ascii="Garamond" w:hAnsi="Garamond" w:cs="Tahoma"/>
          <w:color w:val="000000"/>
          <w:sz w:val="28"/>
          <w:szCs w:val="28"/>
          <w:lang w:eastAsia="en-US"/>
        </w:rPr>
        <w:t xml:space="preserve">yplinarnego </w:t>
      </w:r>
      <w:r w:rsidRPr="00881CB0">
        <w:rPr>
          <w:rFonts w:ascii="Garamond" w:hAnsi="Garamond" w:cs="Tahoma"/>
          <w:color w:val="000000"/>
          <w:sz w:val="28"/>
          <w:szCs w:val="28"/>
          <w:lang w:eastAsia="en-US"/>
        </w:rPr>
        <w:t xml:space="preserve">i zastępców rzecznika </w:t>
      </w:r>
      <w:r w:rsidRPr="00881CB0">
        <w:rPr>
          <w:rFonts w:ascii="Garamond" w:hAnsi="Garamond" w:cs="Tahoma"/>
          <w:color w:val="000000"/>
          <w:sz w:val="28"/>
          <w:szCs w:val="28"/>
          <w:lang w:eastAsia="en-US"/>
        </w:rPr>
        <w:lastRenderedPageBreak/>
        <w:t>dyscyplinarnego. Dotyczyły one sposobu rozpoznania przez prezesów sądów skierowanych do nich skarg i wniosków. Skarżący negowali stanowisk</w:t>
      </w:r>
      <w:r w:rsidR="008F27F1">
        <w:rPr>
          <w:rFonts w:ascii="Garamond" w:hAnsi="Garamond" w:cs="Tahoma"/>
          <w:color w:val="000000"/>
          <w:sz w:val="28"/>
          <w:szCs w:val="28"/>
          <w:lang w:eastAsia="en-US"/>
        </w:rPr>
        <w:t>a</w:t>
      </w:r>
      <w:r w:rsidRPr="00881CB0">
        <w:rPr>
          <w:rFonts w:ascii="Garamond" w:hAnsi="Garamond" w:cs="Tahoma"/>
          <w:color w:val="000000"/>
          <w:sz w:val="28"/>
          <w:szCs w:val="28"/>
          <w:lang w:eastAsia="en-US"/>
        </w:rPr>
        <w:t xml:space="preserve"> zawarte </w:t>
      </w:r>
      <w:r>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 xml:space="preserve">w udzielanych przez prezesów (lub z ich upoważnienia przez sędziów wizytatorów) odpowiedziach na skargi, podnosili także zarzuty braku bądź opóźnienia </w:t>
      </w:r>
      <w:r w:rsidR="00E139C2">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w udzielaniu odpowiedzi, ogólnikowość, lakoniczność odpowiedzi, brak ustosunkowania się do konkretnych zarzutów, a także domagali się wszczęcia postępowania dyscyplinarnego przeciwko sędziom pełniącym funkcję prezesa sądu. Skarżący wyrażali także niezadowolenie z decyzji rzecznika lub zastępcy rzecznika dyscyplinarnego. W skargach z tej kategorii skarżący kwestionowali również odpowiedzi udzielane przez kierowników jednostek penitencjarnych, okręgowych inspektoratów służby więziennej, Centralny Zarząd Służby Więziennej;</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t>czynności komorników</w:t>
      </w:r>
      <w:r w:rsidRPr="00881CB0">
        <w:rPr>
          <w:rFonts w:ascii="Garamond" w:hAnsi="Garamond" w:cs="Tahoma"/>
          <w:color w:val="000000"/>
          <w:sz w:val="28"/>
          <w:szCs w:val="28"/>
          <w:lang w:eastAsia="en-US"/>
        </w:rPr>
        <w:t xml:space="preserve"> skarżący podnosili zarzuty przeprowadzania bezpodstawnej i niezgodnej z przepisami prawa egzekucji, w tym nieprawidłowego naliczania kosztów egzekucji. Wierzyciele najczęściej podnosili zarzuty wskazujące na brak odpowiednie</w:t>
      </w:r>
      <w:r>
        <w:rPr>
          <w:rFonts w:ascii="Garamond" w:hAnsi="Garamond" w:cs="Tahoma"/>
          <w:color w:val="000000"/>
          <w:sz w:val="28"/>
          <w:szCs w:val="28"/>
          <w:lang w:eastAsia="en-US"/>
        </w:rPr>
        <w:t xml:space="preserve">j współpracy komornika </w:t>
      </w:r>
      <w:r w:rsidRPr="00881CB0">
        <w:rPr>
          <w:rFonts w:ascii="Garamond" w:hAnsi="Garamond" w:cs="Tahoma"/>
          <w:color w:val="000000"/>
          <w:sz w:val="28"/>
          <w:szCs w:val="28"/>
          <w:lang w:eastAsia="en-US"/>
        </w:rPr>
        <w:t xml:space="preserve">z wierzycielem, nadmierną ochronę interesów dłużnika z pokrzywdzeniem interesów wierzycieli, opieszałość </w:t>
      </w:r>
      <w:r>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w podejmowaniu czy</w:t>
      </w:r>
      <w:r>
        <w:rPr>
          <w:rFonts w:ascii="Garamond" w:hAnsi="Garamond" w:cs="Tahoma"/>
          <w:color w:val="000000"/>
          <w:sz w:val="28"/>
          <w:szCs w:val="28"/>
          <w:lang w:eastAsia="en-US"/>
        </w:rPr>
        <w:t xml:space="preserve">nności, </w:t>
      </w:r>
      <w:r w:rsidRPr="00881CB0">
        <w:rPr>
          <w:rFonts w:ascii="Garamond" w:hAnsi="Garamond" w:cs="Tahoma"/>
          <w:color w:val="000000"/>
          <w:sz w:val="28"/>
          <w:szCs w:val="28"/>
          <w:lang w:eastAsia="en-US"/>
        </w:rPr>
        <w:t>w szczególności dotyczących poszukiwania majątku dłużnika, długotrwałość czynności zmierzających do licytacji nieruchomości, czy małą skuteczność egzekucji. Z kolei dłużnicy najczęściej podważali podstawę wszczęcia egzekucji, zasadność i zakres prowadzenia egzekucji, prawidłowość dokonywanych zajęć, zwłaszcza rzeczy ruchomych, rachunków bankowych, wynagrodzenia za pracę i świadczeń emerytalnych, a nadto wskazywali na negatywne nastawienie organów egzekucyjnych. Duża ilość skarg dotyczyła prawidłowości czynności podejmowanych przez ko</w:t>
      </w:r>
      <w:r>
        <w:rPr>
          <w:rFonts w:ascii="Garamond" w:hAnsi="Garamond" w:cs="Tahoma"/>
          <w:color w:val="000000"/>
          <w:sz w:val="28"/>
          <w:szCs w:val="28"/>
          <w:lang w:eastAsia="en-US"/>
        </w:rPr>
        <w:t xml:space="preserve">morników sądowych </w:t>
      </w:r>
      <w:r w:rsidRPr="00881CB0">
        <w:rPr>
          <w:rFonts w:ascii="Garamond" w:hAnsi="Garamond" w:cs="Tahoma"/>
          <w:color w:val="000000"/>
          <w:sz w:val="28"/>
          <w:szCs w:val="28"/>
          <w:lang w:eastAsia="en-US"/>
        </w:rPr>
        <w:t>w toku egzekucji z nieruchomości (w szczególności zarzuty odnosiły się do czynności opisu i oszacowania oraz wyceny nieruchomości);</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t>kuratorów</w:t>
      </w:r>
      <w:r w:rsidRPr="00881CB0">
        <w:rPr>
          <w:rFonts w:ascii="Garamond" w:hAnsi="Garamond" w:cs="Tahoma"/>
          <w:color w:val="000000"/>
          <w:sz w:val="28"/>
          <w:szCs w:val="28"/>
          <w:lang w:eastAsia="en-US"/>
        </w:rPr>
        <w:t xml:space="preserve"> podnoszono zarzuty dotyczące głównie wykonywanych czynności przez kuratorów sądowych, a także ich zachowania. Zarzuty obejmowały kwestie wykonywania orzeczeń w spra</w:t>
      </w:r>
      <w:r>
        <w:rPr>
          <w:rFonts w:ascii="Garamond" w:hAnsi="Garamond" w:cs="Tahoma"/>
          <w:color w:val="000000"/>
          <w:sz w:val="28"/>
          <w:szCs w:val="28"/>
          <w:lang w:eastAsia="en-US"/>
        </w:rPr>
        <w:t xml:space="preserve">wach karnych </w:t>
      </w:r>
      <w:r w:rsidRPr="00881CB0">
        <w:rPr>
          <w:rFonts w:ascii="Garamond" w:hAnsi="Garamond" w:cs="Tahoma"/>
          <w:color w:val="000000"/>
          <w:sz w:val="28"/>
          <w:szCs w:val="28"/>
          <w:lang w:eastAsia="en-US"/>
        </w:rPr>
        <w:t>i rodzinnych. Skarżący wykazywali również brak satysfakcji z występującej asymetrii między ich oczekiwaniami a decyzj</w:t>
      </w:r>
      <w:r w:rsidR="00E139C2">
        <w:rPr>
          <w:rFonts w:ascii="Garamond" w:hAnsi="Garamond" w:cs="Tahoma"/>
          <w:color w:val="000000"/>
          <w:sz w:val="28"/>
          <w:szCs w:val="28"/>
          <w:lang w:eastAsia="en-US"/>
        </w:rPr>
        <w:t xml:space="preserve">ami kuratora podejmowanymi </w:t>
      </w:r>
      <w:r w:rsidRPr="00881CB0">
        <w:rPr>
          <w:rFonts w:ascii="Garamond" w:hAnsi="Garamond" w:cs="Tahoma"/>
          <w:color w:val="000000"/>
          <w:sz w:val="28"/>
          <w:szCs w:val="28"/>
          <w:lang w:eastAsia="en-US"/>
        </w:rPr>
        <w:t xml:space="preserve">w toczących się sprawach </w:t>
      </w:r>
      <w:r w:rsidRPr="00881CB0">
        <w:rPr>
          <w:rFonts w:ascii="Garamond" w:hAnsi="Garamond" w:cs="Tahoma"/>
          <w:color w:val="000000"/>
          <w:sz w:val="28"/>
          <w:szCs w:val="28"/>
          <w:lang w:eastAsia="en-US"/>
        </w:rPr>
        <w:lastRenderedPageBreak/>
        <w:t>dozoru oraz co do treści wywiadów środowiskowych;</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t>adwokatów i radców prawnych</w:t>
      </w:r>
      <w:r w:rsidRPr="00881CB0">
        <w:rPr>
          <w:rFonts w:ascii="Garamond" w:hAnsi="Garamond" w:cs="Tahoma"/>
          <w:color w:val="000000"/>
          <w:sz w:val="28"/>
          <w:szCs w:val="28"/>
          <w:lang w:eastAsia="en-US"/>
        </w:rPr>
        <w:t xml:space="preserve"> najczęściej podnoszono zarzuty niewłaściwego wywiązywania się pełnomocników z przyjętych na siebie obowiązków, brak należytej staranności w prowadzeniu spraw, niedokładne bądź niewystarczające, w ocenie mandantów, informowanie o przebiegu postępowań, niezwracanie dokumentacji przyjętej od strony, niesumienne rozliczanie się </w:t>
      </w:r>
      <w:r w:rsidR="00AA4429">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z wynagrodzeń lub niewłaściwe ich księgowanie;</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t>notariuszy</w:t>
      </w:r>
      <w:r w:rsidRPr="00881CB0">
        <w:rPr>
          <w:rFonts w:ascii="Garamond" w:hAnsi="Garamond" w:cs="Tahoma"/>
          <w:color w:val="000000"/>
          <w:sz w:val="28"/>
          <w:szCs w:val="28"/>
          <w:lang w:eastAsia="en-US"/>
        </w:rPr>
        <w:t xml:space="preserve"> podnoszono zarzuty nieprawidłowości w wykonywaniu czynności oraz funkcjonowaniu kancelarii notarialnych;</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t>tłumaczy przysięgłych</w:t>
      </w:r>
      <w:r w:rsidRPr="00881CB0">
        <w:rPr>
          <w:rFonts w:ascii="Garamond" w:hAnsi="Garamond" w:cs="Tahoma"/>
          <w:color w:val="000000"/>
          <w:sz w:val="28"/>
          <w:szCs w:val="28"/>
          <w:lang w:eastAsia="en-US"/>
        </w:rPr>
        <w:t xml:space="preserve"> zarzuty dotyczyły ni</w:t>
      </w:r>
      <w:r>
        <w:rPr>
          <w:rFonts w:ascii="Garamond" w:hAnsi="Garamond" w:cs="Tahoma"/>
          <w:color w:val="000000"/>
          <w:sz w:val="28"/>
          <w:szCs w:val="28"/>
          <w:lang w:eastAsia="en-US"/>
        </w:rPr>
        <w:t>erzetelności</w:t>
      </w:r>
      <w:r w:rsidRPr="00881CB0">
        <w:rPr>
          <w:rFonts w:ascii="Garamond" w:hAnsi="Garamond" w:cs="Tahoma"/>
          <w:color w:val="000000"/>
          <w:sz w:val="28"/>
          <w:szCs w:val="28"/>
          <w:lang w:eastAsia="en-US"/>
        </w:rPr>
        <w:t xml:space="preserve"> w sporządzaniu tłumaczeń oraz odmowy wykonania tłumaczeń na rzecz uprawnionego organu;</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t>biegłych sądowych</w:t>
      </w:r>
      <w:r w:rsidRPr="00881CB0">
        <w:rPr>
          <w:rFonts w:ascii="Garamond" w:hAnsi="Garamond" w:cs="Tahoma"/>
          <w:color w:val="000000"/>
          <w:sz w:val="28"/>
          <w:szCs w:val="28"/>
          <w:lang w:eastAsia="en-US"/>
        </w:rPr>
        <w:t xml:space="preserve"> zarzuty dotyczyły prawidłowości i rzetelności opinii sporządzonych przez biegłych w konkretnych postępowaniach sądowych. Zarzucano biegłym brak bezstronności, brak wiedzy niezbędnej do wydania opinii czy niespełnienie warunków ustanowienia biegłym sądowym. Przedmiotem skarg był również sposób wykonywania czynności przez biegłych np. niepowiadomienie strony postępowania o oględzinach nieruchomości;</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t xml:space="preserve">doradców restrukturyzacyjnych </w:t>
      </w:r>
      <w:r w:rsidRPr="00881CB0">
        <w:rPr>
          <w:rFonts w:ascii="Garamond" w:hAnsi="Garamond" w:cs="Tahoma"/>
          <w:color w:val="000000"/>
          <w:sz w:val="28"/>
          <w:szCs w:val="28"/>
          <w:lang w:eastAsia="en-US"/>
        </w:rPr>
        <w:t>zarzuty dotyczyły nieprawidłowego wykonywania przez osoby posiadające licencję doradcy restrukturyzacyjnego obowiązków wynikających z pełnienia w postępowaniach restrukturyzacyjnych</w:t>
      </w:r>
      <w:r w:rsidR="00E139C2">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 xml:space="preserve"> i upadłościowych funkcji syndyka, zarządcy lub nadzorcy;</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t>sprawy pracownicze</w:t>
      </w:r>
      <w:r w:rsidRPr="00881CB0">
        <w:rPr>
          <w:rFonts w:ascii="Garamond" w:hAnsi="Garamond" w:cs="Tahoma"/>
          <w:color w:val="000000"/>
          <w:sz w:val="28"/>
          <w:szCs w:val="28"/>
          <w:lang w:eastAsia="en-US"/>
        </w:rPr>
        <w:t xml:space="preserve"> zarzuty dotyczyły spraw</w:t>
      </w:r>
      <w:r>
        <w:rPr>
          <w:rFonts w:ascii="Garamond" w:hAnsi="Garamond" w:cs="Tahoma"/>
          <w:color w:val="000000"/>
          <w:sz w:val="28"/>
          <w:szCs w:val="28"/>
          <w:lang w:eastAsia="en-US"/>
        </w:rPr>
        <w:t xml:space="preserve"> kadrowych </w:t>
      </w:r>
      <w:r w:rsidRPr="00881CB0">
        <w:rPr>
          <w:rFonts w:ascii="Garamond" w:hAnsi="Garamond" w:cs="Tahoma"/>
          <w:color w:val="000000"/>
          <w:sz w:val="28"/>
          <w:szCs w:val="28"/>
          <w:lang w:eastAsia="en-US"/>
        </w:rPr>
        <w:t>i płacowych, zwłaszcza dysproporcji w wysokości wynagrodzeń na analogicznych stanowiskach w sądach różnych szczebli oraz nieprawidłowości przy podziale środków na podwy</w:t>
      </w:r>
      <w:r>
        <w:rPr>
          <w:rFonts w:ascii="Garamond" w:hAnsi="Garamond" w:cs="Tahoma"/>
          <w:color w:val="000000"/>
          <w:sz w:val="28"/>
          <w:szCs w:val="28"/>
          <w:lang w:eastAsia="en-US"/>
        </w:rPr>
        <w:t xml:space="preserve">ższenie wynagrodzeń </w:t>
      </w:r>
      <w:r w:rsidRPr="00881CB0">
        <w:rPr>
          <w:rFonts w:ascii="Garamond" w:hAnsi="Garamond" w:cs="Tahoma"/>
          <w:color w:val="000000"/>
          <w:sz w:val="28"/>
          <w:szCs w:val="28"/>
          <w:lang w:eastAsia="en-US"/>
        </w:rPr>
        <w:t>w roku 2016 w różnych sądach powszechnych;</w:t>
      </w:r>
    </w:p>
    <w:p w:rsidR="00881CB0" w:rsidRPr="00881CB0" w:rsidRDefault="00881CB0" w:rsidP="00881CB0">
      <w:pPr>
        <w:numPr>
          <w:ilvl w:val="0"/>
          <w:numId w:val="6"/>
        </w:numPr>
        <w:spacing w:line="360" w:lineRule="auto"/>
        <w:jc w:val="both"/>
        <w:rPr>
          <w:rFonts w:cs="Tahoma"/>
          <w:lang w:eastAsia="en-US"/>
        </w:rPr>
      </w:pPr>
      <w:r w:rsidRPr="00881CB0">
        <w:rPr>
          <w:rFonts w:ascii="Garamond" w:hAnsi="Garamond" w:cs="Tahoma"/>
          <w:b/>
          <w:color w:val="000000"/>
          <w:sz w:val="28"/>
          <w:szCs w:val="28"/>
          <w:lang w:eastAsia="en-US"/>
        </w:rPr>
        <w:t>zakwalifikowanych jako „inne”</w:t>
      </w:r>
      <w:r w:rsidRPr="00881CB0">
        <w:rPr>
          <w:rFonts w:ascii="Garamond" w:hAnsi="Garamond" w:cs="Tahoma"/>
          <w:color w:val="000000"/>
          <w:sz w:val="28"/>
          <w:szCs w:val="28"/>
          <w:lang w:eastAsia="en-US"/>
        </w:rPr>
        <w:t xml:space="preserve"> podnoszono zarzuty nierzetelnego wykonywania obowiązków przez przedstawicieli różnych grup zawodowych, fałszowania protokołów, usuwania dokumentów z akt, brak niezawisłości. Domagano się dokonania przez Ministra Sprawie</w:t>
      </w:r>
      <w:r>
        <w:rPr>
          <w:rFonts w:ascii="Garamond" w:hAnsi="Garamond" w:cs="Tahoma"/>
          <w:color w:val="000000"/>
          <w:sz w:val="28"/>
          <w:szCs w:val="28"/>
          <w:lang w:eastAsia="en-US"/>
        </w:rPr>
        <w:t xml:space="preserve">dliwości czynności, </w:t>
      </w:r>
      <w:r w:rsidRPr="00881CB0">
        <w:rPr>
          <w:rFonts w:ascii="Garamond" w:hAnsi="Garamond" w:cs="Tahoma"/>
          <w:color w:val="000000"/>
          <w:sz w:val="28"/>
          <w:szCs w:val="28"/>
          <w:lang w:eastAsia="en-US"/>
        </w:rPr>
        <w:t xml:space="preserve">do których Minister nie posiada ustawowych uprawnień. Przykładem takich pism były żądania o: zawieszenie sędziego w czynnościach służbowych, uchylenie sędziemu </w:t>
      </w:r>
      <w:r w:rsidRPr="00881CB0">
        <w:rPr>
          <w:rFonts w:ascii="Garamond" w:hAnsi="Garamond" w:cs="Tahoma"/>
          <w:color w:val="000000"/>
          <w:sz w:val="28"/>
          <w:szCs w:val="28"/>
          <w:lang w:eastAsia="en-US"/>
        </w:rPr>
        <w:lastRenderedPageBreak/>
        <w:t xml:space="preserve">immunitetu, wszczęcie przeciwko sędziom postępowania karnego oparte o zarzut popełnienia przestępstwa, żądanie pozbawienia przez Ministra prawa wykonywania zawodu sędziego. Kwestionowano także prawidłowość danych przetwarzanych przez Krajowy Rejestr Karny. Osadzeni w jednostkach penitencjarnych skarżyli </w:t>
      </w:r>
      <w:r w:rsidR="00EB03A0">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się na</w:t>
      </w:r>
      <w:r>
        <w:rPr>
          <w:rFonts w:ascii="Garamond" w:hAnsi="Garamond" w:cs="Tahoma"/>
          <w:color w:val="000000"/>
          <w:sz w:val="28"/>
          <w:szCs w:val="28"/>
          <w:lang w:eastAsia="en-US"/>
        </w:rPr>
        <w:t xml:space="preserve"> działania </w:t>
      </w:r>
      <w:r w:rsidRPr="00881CB0">
        <w:rPr>
          <w:rFonts w:ascii="Garamond" w:hAnsi="Garamond" w:cs="Tahoma"/>
          <w:color w:val="000000"/>
          <w:sz w:val="28"/>
          <w:szCs w:val="28"/>
          <w:lang w:eastAsia="en-US"/>
        </w:rPr>
        <w:t>i zachowania funkcjonariuszy Służby Więziennej, na brak</w:t>
      </w:r>
      <w:r w:rsidR="00EB03A0">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 xml:space="preserve"> m.in. właściwego wyżywienia. Skarżący podnosili także zarzuty dotyczące funkcjonowania punktów nieodpłatnej pomocy prawnej, sposobu udzielenia porady prawnej w punkcie nieodpłatnej pomocy prawnej. Nadto podnoszono zarzuty pod adresem prokuratury, policji, sądów administracyjnych, organów samorządu terytorialnego, spółdzielni mieszkaniowych, wspólnot mieszkaniowych, org</w:t>
      </w:r>
      <w:r>
        <w:rPr>
          <w:rFonts w:ascii="Garamond" w:hAnsi="Garamond" w:cs="Tahoma"/>
          <w:color w:val="000000"/>
          <w:sz w:val="28"/>
          <w:szCs w:val="28"/>
          <w:lang w:eastAsia="en-US"/>
        </w:rPr>
        <w:t xml:space="preserve">anów podatkowych </w:t>
      </w:r>
      <w:r w:rsidRPr="00881CB0">
        <w:rPr>
          <w:rFonts w:ascii="Garamond" w:hAnsi="Garamond" w:cs="Tahoma"/>
          <w:color w:val="000000"/>
          <w:sz w:val="28"/>
          <w:szCs w:val="28"/>
          <w:lang w:eastAsia="en-US"/>
        </w:rPr>
        <w:t>i organów kontroli skarbowej, firm windykacyjnych, instytucji kredytowych, pomocy społecznej.</w:t>
      </w:r>
    </w:p>
    <w:p w:rsidR="00881CB0" w:rsidRPr="00AA4429" w:rsidRDefault="00881CB0" w:rsidP="00881CB0">
      <w:pPr>
        <w:spacing w:line="360" w:lineRule="auto"/>
        <w:ind w:left="720"/>
        <w:jc w:val="both"/>
        <w:rPr>
          <w:rFonts w:cs="Tahoma"/>
          <w:sz w:val="8"/>
          <w:szCs w:val="8"/>
          <w:lang w:eastAsia="en-US"/>
        </w:rPr>
      </w:pPr>
    </w:p>
    <w:p w:rsidR="00881CB0" w:rsidRPr="00881CB0" w:rsidRDefault="00881CB0" w:rsidP="00881CB0">
      <w:pPr>
        <w:spacing w:line="360" w:lineRule="auto"/>
        <w:jc w:val="both"/>
        <w:rPr>
          <w:rFonts w:cs="Tahoma"/>
          <w:lang w:eastAsia="en-US"/>
        </w:rPr>
      </w:pPr>
      <w:r w:rsidRPr="00881CB0">
        <w:rPr>
          <w:rFonts w:ascii="Garamond" w:hAnsi="Garamond" w:cs="Tahoma"/>
          <w:color w:val="000000"/>
          <w:sz w:val="28"/>
          <w:szCs w:val="28"/>
          <w:lang w:eastAsia="en-US"/>
        </w:rPr>
        <w:t xml:space="preserve">Kierowane do Ministerstwa Sprawiedliwości </w:t>
      </w:r>
      <w:r w:rsidRPr="00881CB0">
        <w:rPr>
          <w:rFonts w:ascii="Garamond" w:hAnsi="Garamond" w:cs="Tahoma"/>
          <w:b/>
          <w:color w:val="000000"/>
          <w:sz w:val="28"/>
          <w:szCs w:val="28"/>
          <w:lang w:eastAsia="en-US"/>
        </w:rPr>
        <w:t>wnioski</w:t>
      </w:r>
      <w:r w:rsidRPr="00881CB0">
        <w:rPr>
          <w:rFonts w:ascii="Garamond" w:hAnsi="Garamond" w:cs="Tahoma"/>
          <w:color w:val="000000"/>
          <w:sz w:val="28"/>
          <w:szCs w:val="28"/>
          <w:lang w:eastAsia="en-US"/>
        </w:rPr>
        <w:t xml:space="preserve"> dotyczyły, m.in.:</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 xml:space="preserve">propozycji zmian legislacyjnych z zakresu prawa karnego (podniesienie </w:t>
      </w:r>
      <w:r w:rsidR="00AA4429">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 xml:space="preserve">kar za zachowania, za które, zdaniem wnioskodawcy, grożą zbyt niskie kary </w:t>
      </w:r>
      <w:r w:rsidR="00AA4429">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lub wprowadzenie kar za czyny dotychczas niekaralne</w:t>
      </w:r>
      <w:r w:rsidR="00EB03A0">
        <w:rPr>
          <w:rFonts w:ascii="Garamond" w:hAnsi="Garamond" w:cs="Tahoma"/>
          <w:color w:val="000000"/>
          <w:sz w:val="28"/>
          <w:szCs w:val="28"/>
          <w:lang w:eastAsia="en-US"/>
        </w:rPr>
        <w:t>)</w:t>
      </w:r>
      <w:r w:rsidRPr="00881CB0">
        <w:rPr>
          <w:rFonts w:ascii="Garamond" w:hAnsi="Garamond" w:cs="Tahoma"/>
          <w:color w:val="000000"/>
          <w:sz w:val="28"/>
          <w:szCs w:val="28"/>
          <w:lang w:eastAsia="en-US"/>
        </w:rPr>
        <w:t>;</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dostosowania wysokości opłaty rocznej za aplikację radcowską do rzeczywistych kosztów szkolenia aplikantów;</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podjęcia inicjatywy w sprawie uregulowania zasad odbywania aplikacji;</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wyznaczenia terminu egzaminów wstępnych na aplikacje na inny dzień niż sobota;</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poszerzenia kręgu beneficjentów nieodpł</w:t>
      </w:r>
      <w:r>
        <w:rPr>
          <w:rFonts w:ascii="Garamond" w:hAnsi="Garamond" w:cs="Tahoma"/>
          <w:color w:val="000000"/>
          <w:sz w:val="28"/>
          <w:szCs w:val="28"/>
          <w:lang w:eastAsia="en-US"/>
        </w:rPr>
        <w:t xml:space="preserve">atnej pomocy prawnej </w:t>
      </w:r>
      <w:r w:rsidRPr="00881CB0">
        <w:rPr>
          <w:rFonts w:ascii="Garamond" w:hAnsi="Garamond" w:cs="Tahoma"/>
          <w:color w:val="000000"/>
          <w:sz w:val="28"/>
          <w:szCs w:val="28"/>
          <w:lang w:eastAsia="en-US"/>
        </w:rPr>
        <w:t>o osoby niepełnosprawne, seniorów, osoby pobierające świadczenia wychowawcze tzw. „500+”;</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uzupełnienia nieodpłatnego poradnictwa prawnego o porady prawne świadczone przez telefon lub Internet;</w:t>
      </w:r>
    </w:p>
    <w:p w:rsidR="00AA4429" w:rsidRPr="00AA4429" w:rsidRDefault="00881CB0" w:rsidP="00AA4429">
      <w:pPr>
        <w:numPr>
          <w:ilvl w:val="0"/>
          <w:numId w:val="5"/>
        </w:numPr>
        <w:spacing w:line="360" w:lineRule="auto"/>
        <w:jc w:val="both"/>
        <w:rPr>
          <w:rFonts w:cs="Tahoma"/>
          <w:lang w:eastAsia="en-US"/>
        </w:rPr>
      </w:pPr>
      <w:r w:rsidRPr="00881CB0">
        <w:rPr>
          <w:rFonts w:ascii="Garamond" w:hAnsi="Garamond" w:cs="Tahoma"/>
          <w:color w:val="000000"/>
          <w:sz w:val="28"/>
          <w:szCs w:val="28"/>
          <w:lang w:eastAsia="en-US"/>
        </w:rPr>
        <w:t>zmian legislacyjnych zmierzających do nowelizacji §</w:t>
      </w:r>
      <w:r w:rsidR="004F6412">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7 ust.</w:t>
      </w:r>
      <w:r w:rsidR="004F6412">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 xml:space="preserve">4 rozporządzenia Ministra Sprawiedliwości </w:t>
      </w:r>
      <w:r w:rsidRPr="00881CB0">
        <w:rPr>
          <w:rFonts w:ascii="Garamond" w:hAnsi="Garamond" w:cs="Tahoma"/>
          <w:i/>
          <w:iCs/>
          <w:color w:val="000000"/>
          <w:sz w:val="28"/>
          <w:szCs w:val="28"/>
          <w:lang w:eastAsia="en-US"/>
        </w:rPr>
        <w:t xml:space="preserve">w sprawie szczegółowych zasad i trybu doręczenia pism sądowych </w:t>
      </w:r>
      <w:r>
        <w:rPr>
          <w:rFonts w:ascii="Garamond" w:hAnsi="Garamond" w:cs="Tahoma"/>
          <w:i/>
          <w:iCs/>
          <w:color w:val="000000"/>
          <w:sz w:val="28"/>
          <w:szCs w:val="28"/>
          <w:lang w:eastAsia="en-US"/>
        </w:rPr>
        <w:t xml:space="preserve">         </w:t>
      </w:r>
      <w:r w:rsidRPr="00881CB0">
        <w:rPr>
          <w:rFonts w:ascii="Garamond" w:hAnsi="Garamond" w:cs="Tahoma"/>
          <w:i/>
          <w:iCs/>
          <w:color w:val="000000"/>
          <w:sz w:val="28"/>
          <w:szCs w:val="28"/>
          <w:lang w:eastAsia="en-US"/>
        </w:rPr>
        <w:t>w postępowaniu karnym.</w:t>
      </w:r>
    </w:p>
    <w:p w:rsidR="00AA4429" w:rsidRPr="00AA4429" w:rsidRDefault="00AA4429" w:rsidP="00AA4429">
      <w:pPr>
        <w:spacing w:line="360" w:lineRule="auto"/>
        <w:jc w:val="both"/>
        <w:rPr>
          <w:rFonts w:cs="Tahoma"/>
          <w:sz w:val="10"/>
          <w:szCs w:val="10"/>
          <w:lang w:eastAsia="en-US"/>
        </w:rPr>
      </w:pPr>
    </w:p>
    <w:p w:rsidR="00881CB0" w:rsidRPr="00881CB0" w:rsidRDefault="00881CB0" w:rsidP="00881CB0">
      <w:p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Nadto zwracano się do Ministerstwa Sprawiedliwości z prośbami o:</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udzielenie informacji o prawie;</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lastRenderedPageBreak/>
        <w:t>udzielenie porady prawnej;</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dokonanie wykładni i interpretacji przepisów prawa;</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przetransportowanie do innego zakładu karnego, spowodowanie podjęci</w:t>
      </w:r>
      <w:r w:rsidR="004F6412">
        <w:rPr>
          <w:rFonts w:ascii="Garamond" w:hAnsi="Garamond" w:cs="Tahoma"/>
          <w:color w:val="000000"/>
          <w:sz w:val="28"/>
          <w:szCs w:val="28"/>
          <w:lang w:eastAsia="en-US"/>
        </w:rPr>
        <w:t>a</w:t>
      </w:r>
      <w:r w:rsidRPr="00881CB0">
        <w:rPr>
          <w:rFonts w:ascii="Garamond" w:hAnsi="Garamond" w:cs="Tahoma"/>
          <w:color w:val="000000"/>
          <w:sz w:val="28"/>
          <w:szCs w:val="28"/>
          <w:lang w:eastAsia="en-US"/>
        </w:rPr>
        <w:t xml:space="preserve"> nauki czy uzyskania zatrudnienia w jednostce penitencjarnej;</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udzielenie pomocy finansowej lub prawnej w ramach działania Funduszu Pomocy Pokrzywdzonym oraz Pomocy Postpenitencjarnej;</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udzielenie informacji o ośrodkach pomocy osobom pokrzywdzonym przestępstwem;</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udostępnienie formularzy skargi do Europejskiego Trybunału Praw Człowieka;</w:t>
      </w:r>
    </w:p>
    <w:p w:rsidR="00881CB0" w:rsidRPr="00881CB0" w:rsidRDefault="00881CB0" w:rsidP="00881CB0">
      <w:pPr>
        <w:numPr>
          <w:ilvl w:val="0"/>
          <w:numId w:val="5"/>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pomoc w spłacie zadłużenia bądź w rozwiązaniu przeróżnych problemów życiowych.</w:t>
      </w:r>
    </w:p>
    <w:p w:rsidR="00881CB0" w:rsidRPr="00881CB0" w:rsidRDefault="00881CB0" w:rsidP="00881CB0">
      <w:pPr>
        <w:keepNext/>
        <w:spacing w:before="240" w:after="240" w:line="360" w:lineRule="auto"/>
        <w:ind w:left="181"/>
        <w:jc w:val="center"/>
        <w:rPr>
          <w:rFonts w:ascii="Garamond" w:hAnsi="Garamond" w:cs="Tahoma"/>
          <w:b/>
          <w:sz w:val="28"/>
          <w:szCs w:val="28"/>
          <w:lang w:eastAsia="pl-PL"/>
        </w:rPr>
      </w:pPr>
      <w:r w:rsidRPr="00881CB0">
        <w:rPr>
          <w:rFonts w:ascii="Garamond" w:hAnsi="Garamond" w:cs="Tahoma"/>
          <w:b/>
          <w:sz w:val="28"/>
          <w:szCs w:val="28"/>
          <w:lang w:eastAsia="pl-PL"/>
        </w:rPr>
        <w:t>3. Informacja o sposobie załatwienia skarg i wniosków</w:t>
      </w:r>
    </w:p>
    <w:p w:rsidR="00881CB0" w:rsidRPr="00881CB0" w:rsidRDefault="00881CB0" w:rsidP="00881CB0">
      <w:pPr>
        <w:spacing w:line="360" w:lineRule="auto"/>
        <w:ind w:firstLine="709"/>
        <w:jc w:val="both"/>
        <w:rPr>
          <w:rFonts w:cs="Tahoma"/>
          <w:lang w:eastAsia="en-US"/>
        </w:rPr>
      </w:pPr>
      <w:r w:rsidRPr="00881CB0">
        <w:rPr>
          <w:rFonts w:ascii="Garamond" w:hAnsi="Garamond" w:cs="Tahoma"/>
          <w:sz w:val="28"/>
          <w:szCs w:val="28"/>
          <w:lang w:eastAsia="pl-PL"/>
        </w:rPr>
        <w:t>Skargi i wnioski kierowane do Ministerstwa Sprawiedliwości były rozpatrywane w oparciu o: przepisy Działu VIII ustawy</w:t>
      </w:r>
      <w:r w:rsidRPr="00881CB0">
        <w:rPr>
          <w:rFonts w:ascii="Garamond" w:hAnsi="Garamond" w:cs="Tahoma"/>
          <w:i/>
          <w:sz w:val="28"/>
          <w:szCs w:val="28"/>
          <w:lang w:eastAsia="pl-PL"/>
        </w:rPr>
        <w:t xml:space="preserve"> Kodeks postępowania administracyjnego,</w:t>
      </w:r>
      <w:r w:rsidRPr="00881CB0">
        <w:rPr>
          <w:rFonts w:ascii="Garamond" w:hAnsi="Garamond" w:cs="Tahoma"/>
          <w:sz w:val="28"/>
          <w:szCs w:val="28"/>
          <w:lang w:eastAsia="pl-PL"/>
        </w:rPr>
        <w:t xml:space="preserve"> ustawy: </w:t>
      </w:r>
      <w:r w:rsidRPr="00881CB0">
        <w:rPr>
          <w:rFonts w:ascii="Garamond" w:hAnsi="Garamond" w:cs="Tahoma"/>
          <w:i/>
          <w:sz w:val="28"/>
          <w:szCs w:val="28"/>
          <w:lang w:eastAsia="pl-PL"/>
        </w:rPr>
        <w:t>Prawo o ustroju sądów powszechnych</w:t>
      </w:r>
      <w:r w:rsidRPr="00881CB0">
        <w:rPr>
          <w:rFonts w:ascii="Garamond" w:hAnsi="Garamond" w:cs="Tahoma"/>
          <w:sz w:val="28"/>
          <w:szCs w:val="28"/>
          <w:lang w:eastAsia="pl-PL"/>
        </w:rPr>
        <w:t>,</w:t>
      </w:r>
      <w:r w:rsidRPr="00881CB0">
        <w:rPr>
          <w:rFonts w:ascii="Garamond" w:hAnsi="Garamond" w:cs="Tahoma"/>
          <w:i/>
          <w:sz w:val="28"/>
          <w:szCs w:val="28"/>
          <w:lang w:eastAsia="pl-PL"/>
        </w:rPr>
        <w:t xml:space="preserve"> O komornikach sądowych          i egzekucji, Prawo o adwokaturze, O radcach prawnych, Prawo o notariacie, </w:t>
      </w:r>
      <w:r w:rsidRPr="00881CB0">
        <w:rPr>
          <w:rFonts w:ascii="Garamond" w:hAnsi="Garamond" w:cs="Tahoma"/>
          <w:sz w:val="28"/>
          <w:szCs w:val="28"/>
          <w:lang w:eastAsia="pl-PL"/>
        </w:rPr>
        <w:t>rozporządzenie Rady Ministrów z dnia 8 stycznia 2002 r.</w:t>
      </w:r>
      <w:r w:rsidRPr="00881CB0">
        <w:rPr>
          <w:rFonts w:ascii="Garamond" w:hAnsi="Garamond" w:cs="Tahoma"/>
          <w:i/>
          <w:sz w:val="28"/>
          <w:szCs w:val="28"/>
          <w:lang w:eastAsia="pl-PL"/>
        </w:rPr>
        <w:t xml:space="preserve"> w sprawie organizacji przyjmowania </w:t>
      </w:r>
      <w:r w:rsidRPr="00881CB0">
        <w:rPr>
          <w:rFonts w:ascii="Garamond" w:hAnsi="Garamond" w:cs="Tahoma"/>
          <w:i/>
          <w:sz w:val="28"/>
          <w:szCs w:val="28"/>
          <w:lang w:eastAsia="pl-PL"/>
        </w:rPr>
        <w:br/>
        <w:t>i rozpatrywania skarg i wniosków</w:t>
      </w:r>
      <w:r w:rsidRPr="00881CB0">
        <w:rPr>
          <w:rFonts w:ascii="Garamond" w:hAnsi="Garamond" w:cs="Tahoma"/>
          <w:sz w:val="28"/>
          <w:szCs w:val="28"/>
          <w:lang w:eastAsia="pl-PL"/>
        </w:rPr>
        <w:t>, rozporządzenie Ministra Sprawiedliwości z dnia</w:t>
      </w:r>
      <w:r w:rsidR="00E139C2">
        <w:rPr>
          <w:rFonts w:ascii="Garamond" w:hAnsi="Garamond" w:cs="Tahoma"/>
          <w:sz w:val="28"/>
          <w:szCs w:val="28"/>
          <w:lang w:eastAsia="pl-PL"/>
        </w:rPr>
        <w:t xml:space="preserve">      </w:t>
      </w:r>
      <w:r w:rsidRPr="00881CB0">
        <w:rPr>
          <w:rFonts w:ascii="Garamond" w:hAnsi="Garamond" w:cs="Tahoma"/>
          <w:sz w:val="28"/>
          <w:szCs w:val="28"/>
          <w:lang w:eastAsia="pl-PL"/>
        </w:rPr>
        <w:t xml:space="preserve"> 24 stycznia 2005 r. </w:t>
      </w:r>
      <w:r w:rsidRPr="00881CB0">
        <w:rPr>
          <w:rFonts w:ascii="Garamond" w:hAnsi="Garamond" w:cs="Tahoma"/>
          <w:i/>
          <w:iCs/>
          <w:sz w:val="28"/>
          <w:szCs w:val="28"/>
          <w:lang w:eastAsia="pl-PL"/>
        </w:rPr>
        <w:t>w sprawie biegłych sądowych</w:t>
      </w:r>
      <w:r w:rsidRPr="00881CB0">
        <w:rPr>
          <w:rFonts w:ascii="Garamond" w:hAnsi="Garamond" w:cs="Tahoma"/>
          <w:sz w:val="28"/>
          <w:szCs w:val="28"/>
          <w:lang w:eastAsia="pl-PL"/>
        </w:rPr>
        <w:t>, regulamin organizacyjny Ministerstwa Sprawiedliwości.</w:t>
      </w:r>
    </w:p>
    <w:p w:rsidR="00881CB0" w:rsidRPr="00881CB0" w:rsidRDefault="00881CB0" w:rsidP="00881CB0">
      <w:pPr>
        <w:spacing w:line="360" w:lineRule="auto"/>
        <w:ind w:firstLine="709"/>
        <w:jc w:val="both"/>
        <w:rPr>
          <w:rFonts w:ascii="Garamond" w:hAnsi="Garamond" w:cs="Tahoma"/>
          <w:sz w:val="28"/>
          <w:szCs w:val="28"/>
          <w:lang w:eastAsia="pl-PL"/>
        </w:rPr>
      </w:pPr>
      <w:r w:rsidRPr="00881CB0">
        <w:rPr>
          <w:rFonts w:ascii="Garamond" w:hAnsi="Garamond" w:cs="Tahoma"/>
          <w:sz w:val="28"/>
          <w:szCs w:val="28"/>
          <w:lang w:eastAsia="pl-PL"/>
        </w:rPr>
        <w:t xml:space="preserve">W 2016 r. rozpatrzono w Ministerstwie Sprawiedliwości 42.776 skarg </w:t>
      </w:r>
      <w:r w:rsidRPr="00881CB0">
        <w:rPr>
          <w:rFonts w:ascii="Garamond" w:hAnsi="Garamond" w:cs="Tahoma"/>
          <w:sz w:val="28"/>
          <w:szCs w:val="28"/>
          <w:lang w:eastAsia="pl-PL"/>
        </w:rPr>
        <w:br/>
        <w:t>i wniosków, tj. o 16.017 (60%) więcej niż w 2015 r. (26.759). We własnym zakresie załatwiono 15.490 skarg i wniosków, tj. o 4.093 (36%) więcej niż w 2015 r. (11.397).</w:t>
      </w:r>
    </w:p>
    <w:p w:rsidR="00881CB0" w:rsidRDefault="00881CB0" w:rsidP="00881CB0">
      <w:pPr>
        <w:spacing w:line="360" w:lineRule="auto"/>
        <w:ind w:firstLine="709"/>
        <w:jc w:val="both"/>
        <w:rPr>
          <w:rFonts w:ascii="Garamond" w:hAnsi="Garamond" w:cs="Tahoma"/>
          <w:sz w:val="28"/>
          <w:szCs w:val="28"/>
          <w:lang w:eastAsia="pl-PL"/>
        </w:rPr>
      </w:pPr>
      <w:r w:rsidRPr="00881CB0">
        <w:rPr>
          <w:rFonts w:ascii="Garamond" w:hAnsi="Garamond" w:cs="Tahoma"/>
          <w:sz w:val="28"/>
          <w:szCs w:val="28"/>
          <w:lang w:eastAsia="pl-PL"/>
        </w:rPr>
        <w:t>Wśród skarg i wniosków zbadanych bezpośrednio w Ministerstwie Sprawiedliwości za zasadne uznano 251 (1,6%) skarg i wniosków, w 2015 r. - 174 (1,5%), za bezzasadne - 1607 (10,4%) skarg i wniosków, w 2015 r. - 1369 (12%),         a w inny sposób załatwiono 13.632 (88%) skargi i wnioski, w 2015 r. - 9854 (86,50%).</w:t>
      </w:r>
    </w:p>
    <w:p w:rsidR="00881CB0" w:rsidRPr="00881CB0" w:rsidRDefault="00881CB0" w:rsidP="00881CB0">
      <w:pPr>
        <w:spacing w:line="360" w:lineRule="auto"/>
        <w:ind w:firstLine="709"/>
        <w:jc w:val="both"/>
        <w:rPr>
          <w:rFonts w:ascii="Garamond" w:hAnsi="Garamond" w:cs="Tahoma"/>
          <w:sz w:val="28"/>
          <w:szCs w:val="28"/>
          <w:lang w:eastAsia="pl-PL"/>
        </w:rPr>
      </w:pPr>
    </w:p>
    <w:p w:rsidR="00881CB0" w:rsidRDefault="00881CB0" w:rsidP="00881CB0">
      <w:pPr>
        <w:pStyle w:val="Standard"/>
        <w:spacing w:line="360" w:lineRule="auto"/>
        <w:jc w:val="both"/>
      </w:pPr>
      <w:r>
        <w:rPr>
          <w:noProof/>
          <w:lang w:eastAsia="pl-PL" w:bidi="ar-SA"/>
        </w:rPr>
        <w:lastRenderedPageBreak/>
        <w:drawing>
          <wp:inline distT="0" distB="0" distL="0" distR="0" wp14:anchorId="7E17090A" wp14:editId="54C2BA92">
            <wp:extent cx="5695953" cy="2451104"/>
            <wp:effectExtent l="0" t="0" r="19050" b="25400"/>
            <wp:docPr id="3"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81CB0" w:rsidRPr="002D073C" w:rsidRDefault="00881CB0" w:rsidP="00881CB0">
      <w:pPr>
        <w:pStyle w:val="Standard"/>
        <w:spacing w:line="360" w:lineRule="auto"/>
        <w:jc w:val="both"/>
        <w:rPr>
          <w:sz w:val="16"/>
          <w:szCs w:val="16"/>
        </w:rPr>
      </w:pPr>
    </w:p>
    <w:p w:rsidR="00881CB0" w:rsidRDefault="00881CB0" w:rsidP="00881CB0">
      <w:pPr>
        <w:pStyle w:val="Standard"/>
        <w:spacing w:line="360" w:lineRule="auto"/>
        <w:jc w:val="both"/>
      </w:pPr>
      <w:r w:rsidRPr="00AD06A5">
        <w:rPr>
          <w:rFonts w:ascii="Garamond" w:hAnsi="Garamond"/>
          <w:noProof/>
          <w:color w:val="FFC000"/>
          <w:sz w:val="28"/>
          <w:szCs w:val="28"/>
          <w:lang w:eastAsia="pl-PL" w:bidi="ar-SA"/>
        </w:rPr>
        <w:drawing>
          <wp:inline distT="0" distB="0" distL="0" distR="0" wp14:anchorId="4D7C4922" wp14:editId="340E6BE1">
            <wp:extent cx="5695953" cy="2875916"/>
            <wp:effectExtent l="0" t="0" r="19050" b="19685"/>
            <wp:docPr id="4"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A4429" w:rsidRPr="00AA4429" w:rsidRDefault="00AA4429" w:rsidP="00881CB0">
      <w:pPr>
        <w:pStyle w:val="Standard"/>
        <w:spacing w:line="360" w:lineRule="auto"/>
        <w:jc w:val="both"/>
        <w:rPr>
          <w:sz w:val="8"/>
          <w:szCs w:val="8"/>
        </w:rPr>
      </w:pPr>
    </w:p>
    <w:p w:rsidR="00881CB0" w:rsidRPr="00881CB0" w:rsidRDefault="00881CB0" w:rsidP="00881CB0">
      <w:pPr>
        <w:spacing w:line="360" w:lineRule="auto"/>
        <w:ind w:firstLine="708"/>
        <w:jc w:val="both"/>
        <w:rPr>
          <w:rFonts w:cs="Tahoma"/>
          <w:lang w:eastAsia="en-US"/>
        </w:rPr>
      </w:pPr>
      <w:r w:rsidRPr="00881CB0">
        <w:rPr>
          <w:rFonts w:ascii="Garamond" w:hAnsi="Garamond" w:cs="Tahoma"/>
          <w:color w:val="000000"/>
          <w:sz w:val="28"/>
          <w:szCs w:val="28"/>
          <w:lang w:eastAsia="en-US"/>
        </w:rPr>
        <w:t xml:space="preserve">W 2016 r. skargi na działalność sądów powszechnych (podobnie jak w latach poprzednich – od dnia 28 marca 2012 r.) stosownie do treści art. 41c § 1 w związku z art. 41b § 1, 2 i 3 ustawy z dnia 27 lipca 2001 r. – </w:t>
      </w:r>
      <w:r w:rsidRPr="00881CB0">
        <w:rPr>
          <w:rFonts w:ascii="Garamond" w:hAnsi="Garamond" w:cs="Tahoma"/>
          <w:i/>
          <w:color w:val="000000"/>
          <w:sz w:val="28"/>
          <w:szCs w:val="28"/>
          <w:lang w:eastAsia="en-US"/>
        </w:rPr>
        <w:t>Prawo o ustroju sądów</w:t>
      </w:r>
      <w:r w:rsidRPr="00881CB0">
        <w:rPr>
          <w:rFonts w:ascii="Garamond" w:hAnsi="Garamond" w:cs="Tahoma"/>
          <w:color w:val="000000"/>
          <w:sz w:val="28"/>
          <w:szCs w:val="28"/>
          <w:lang w:eastAsia="en-US"/>
        </w:rPr>
        <w:t xml:space="preserve"> </w:t>
      </w:r>
      <w:r w:rsidRPr="00881CB0">
        <w:rPr>
          <w:rFonts w:ascii="Garamond" w:hAnsi="Garamond" w:cs="Tahoma"/>
          <w:i/>
          <w:color w:val="000000"/>
          <w:sz w:val="28"/>
          <w:szCs w:val="28"/>
          <w:lang w:eastAsia="en-US"/>
        </w:rPr>
        <w:t>powszechnych</w:t>
      </w:r>
      <w:r w:rsidRPr="00881CB0">
        <w:rPr>
          <w:rFonts w:ascii="Garamond" w:hAnsi="Garamond" w:cs="Tahoma"/>
          <w:color w:val="000000"/>
          <w:sz w:val="28"/>
          <w:szCs w:val="28"/>
          <w:lang w:eastAsia="en-US"/>
        </w:rPr>
        <w:t xml:space="preserve"> przekazywano, zgodnie z właściwością, do prezesów sądów i do Krajowej Rady Sądownictwa, ewentualnie do rzecznika dyscyplinarnego (właściwego zastępcy rzecznika dyscyplinarnego) na podstawie art. 41d u.s.p.</w:t>
      </w:r>
    </w:p>
    <w:p w:rsidR="00881CB0" w:rsidRPr="00881CB0" w:rsidRDefault="00881CB0" w:rsidP="00881CB0">
      <w:pPr>
        <w:spacing w:line="360" w:lineRule="auto"/>
        <w:ind w:firstLine="708"/>
        <w:jc w:val="both"/>
        <w:rPr>
          <w:rFonts w:cs="Tahoma"/>
          <w:lang w:eastAsia="en-US"/>
        </w:rPr>
      </w:pPr>
      <w:r w:rsidRPr="00881CB0">
        <w:rPr>
          <w:rFonts w:ascii="Garamond" w:hAnsi="Garamond" w:cs="Tahoma"/>
          <w:color w:val="000000"/>
          <w:sz w:val="28"/>
          <w:szCs w:val="28"/>
          <w:lang w:eastAsia="en-US"/>
        </w:rPr>
        <w:t xml:space="preserve">Natomiast skargi na działalność komorników sądowych, co do zasady, przekazywano do załatwienia prezesowi właściwego sądu okręgowego, celem zbadania ich zasadności, udzielenia skarżącemu odpowiedzi oraz podjęcia stosownych działań nadzorczych w razie stwierdzenia nieprawidłowości </w:t>
      </w:r>
      <w:r w:rsidRPr="00881CB0">
        <w:rPr>
          <w:rFonts w:ascii="Garamond" w:hAnsi="Garamond" w:cs="Tahoma"/>
          <w:color w:val="000000"/>
          <w:sz w:val="28"/>
          <w:szCs w:val="28"/>
          <w:lang w:eastAsia="en-US"/>
        </w:rPr>
        <w:br/>
      </w:r>
      <w:r w:rsidRPr="00881CB0">
        <w:rPr>
          <w:rFonts w:ascii="Garamond" w:hAnsi="Garamond" w:cs="Tahoma"/>
          <w:color w:val="000000"/>
          <w:sz w:val="28"/>
          <w:szCs w:val="28"/>
          <w:lang w:eastAsia="en-US"/>
        </w:rPr>
        <w:lastRenderedPageBreak/>
        <w:t>w prowadzonym postępowaniu egzekucyjnym. W takich przypadkach prezesi sądów okręgowych zobowiązywani byli do nadsyłania odpisu odpowiedzi na skargę. Odpowiedzi te były następnie analizowane w Departamencie Wykonania Orzeczeń i Probacji pod kątem konieczności podejmowania dalszych działań nadzorczych         w sprawie, w tym dyscyplinarnych wobec komorników sądowych. Działania</w:t>
      </w:r>
      <w:r w:rsidR="000C5C45">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 xml:space="preserve"> takie były podejmowane w razie stwierdzenia, że środki nadzorcze podjęte przez prezesa sądu okręgowego zostały uznane za niewystarczające. Zgodnie bowiem </w:t>
      </w:r>
      <w:r w:rsidR="000C5C45">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 xml:space="preserve">z art. 64 ust. 1 i 2 ustawy z dnia 29 sierpnia 1997 r. </w:t>
      </w:r>
      <w:r w:rsidRPr="00881CB0">
        <w:rPr>
          <w:rFonts w:ascii="Garamond" w:hAnsi="Garamond" w:cs="Tahoma"/>
          <w:i/>
          <w:color w:val="000000"/>
          <w:sz w:val="28"/>
          <w:szCs w:val="28"/>
          <w:lang w:eastAsia="en-US"/>
        </w:rPr>
        <w:t>o komornikach sądowych i egzekucji</w:t>
      </w:r>
      <w:r w:rsidRPr="00881CB0">
        <w:rPr>
          <w:rFonts w:ascii="Garamond" w:hAnsi="Garamond" w:cs="Tahoma"/>
          <w:color w:val="000000"/>
          <w:sz w:val="28"/>
          <w:szCs w:val="28"/>
          <w:lang w:eastAsia="en-US"/>
        </w:rPr>
        <w:t xml:space="preserve"> nadzór zwierzchni nad działalnością komorników sądowych i działalnością samorządu komorniczego sprawuje Minister Sprawiedliwości poprzez prezesów sądów okręgowych.</w:t>
      </w:r>
    </w:p>
    <w:p w:rsidR="00881CB0" w:rsidRPr="00881CB0" w:rsidRDefault="00881CB0" w:rsidP="00881CB0">
      <w:pPr>
        <w:spacing w:line="360" w:lineRule="auto"/>
        <w:ind w:firstLine="708"/>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Skargi dotyczące działalności adwokatów i radców prawnych przekazywano do organów samorządu adwokackiego lub radcowskiego z zobowiązaniem              do przesłania Ministerstwu Sprawiedliwości stanowisk zajętych w poszczególnych sprawach. Nadesłane kopie odpowiedzi były w Departamencie Zawodów Prawniczych i Dostępu do Pomocy Prawnej poddawane analizie w kontekście prawidłowości podjętych czynności i kompletności udzielonych skarżącym odpowiedzi, a w razie potrzeby żądano udzielenia odpowiedzi uzupełniającej.</w:t>
      </w:r>
    </w:p>
    <w:p w:rsidR="00881CB0" w:rsidRPr="00881CB0" w:rsidRDefault="00881CB0" w:rsidP="00881CB0">
      <w:pPr>
        <w:spacing w:line="360" w:lineRule="auto"/>
        <w:ind w:firstLine="708"/>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Natomiast skargi dotyczące działalności organów samorządu adwokackiego  i radcowskiego były przekazywane organom sprawującym nad nimi nadzór                     tj. odpowiednio do Naczelnej Rady Adwokackiej i Krajowej Rady Radców Prawnych.</w:t>
      </w:r>
    </w:p>
    <w:p w:rsidR="00881CB0" w:rsidRPr="00881CB0" w:rsidRDefault="00881CB0" w:rsidP="00881CB0">
      <w:pPr>
        <w:spacing w:line="360" w:lineRule="auto"/>
        <w:ind w:firstLine="708"/>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W przypadkach, gdy skargi dotyczyły spraw, w których wobec adwokatów bądź radców prawnych prowadzone były postępowania karne przed sądami powszechnymi, Departament Zawodów Prawniczych i Dostępu do Pomocy Prawnej zasięgał informacji bezpośrednio w sądach powszechnych i na bieżąco monitorował postępowania sądowe w tych sprawach.</w:t>
      </w:r>
    </w:p>
    <w:p w:rsidR="00881CB0" w:rsidRPr="00881CB0" w:rsidRDefault="00881CB0" w:rsidP="00881CB0">
      <w:pPr>
        <w:spacing w:line="360" w:lineRule="auto"/>
        <w:ind w:firstLine="708"/>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Skargi na notariuszy rozpoznawane były, co do zasady, we własnym zakresie bądź przekazywane były do rozpoznania prezesom sądów apelacyjnych                    z zobowiązaniem prezesa powiadomienia Ministerstwa Sprawiedliwości o sposobie rozpoznania skargi poprzez przesłanie kopii odpowiedzi udzielonej skarżącym.</w:t>
      </w:r>
    </w:p>
    <w:p w:rsidR="00881CB0" w:rsidRPr="00881CB0" w:rsidRDefault="00881CB0" w:rsidP="00881CB0">
      <w:pPr>
        <w:spacing w:line="360" w:lineRule="auto"/>
        <w:ind w:firstLine="708"/>
        <w:jc w:val="both"/>
        <w:rPr>
          <w:rFonts w:cs="Tahoma"/>
          <w:lang w:eastAsia="en-US"/>
        </w:rPr>
      </w:pPr>
      <w:r w:rsidRPr="00881CB0">
        <w:rPr>
          <w:rFonts w:ascii="Garamond" w:hAnsi="Garamond" w:cs="Tahoma"/>
          <w:color w:val="000000"/>
          <w:sz w:val="28"/>
          <w:szCs w:val="28"/>
          <w:lang w:eastAsia="en-US"/>
        </w:rPr>
        <w:lastRenderedPageBreak/>
        <w:t xml:space="preserve">Skargi dotyczące działań syndyków przekazywane były prezesom właściwych sądów celem przedstawienia sędziom-komisarzom w postępowaniach, w których miało dojść do opisywanych nieprawidłowości. W razie konieczności zwracano </w:t>
      </w:r>
      <w:r w:rsidR="002D073C">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 xml:space="preserve">się o dodatkowe wyjaśnienia do prezesów sądów lub do innych organów                   (np. jednostek prokuratury). Otrzymane informacje dotyczące ewentualnych uchybień ze strony osób pełniących funkcję syndyka, zarządcy bądź nadzorcy analizowano w kontekście uprawnień Ministra Sprawiedliwości wynikających            z ustawy z dnia 15.06.2007 r. </w:t>
      </w:r>
      <w:r w:rsidRPr="00881CB0">
        <w:rPr>
          <w:rFonts w:ascii="Garamond" w:hAnsi="Garamond" w:cs="Tahoma"/>
          <w:i/>
          <w:iCs/>
          <w:color w:val="000000"/>
          <w:sz w:val="28"/>
          <w:szCs w:val="28"/>
          <w:lang w:eastAsia="en-US"/>
        </w:rPr>
        <w:t>o licencji doradcy restrukturyzacyjnego</w:t>
      </w:r>
      <w:r w:rsidRPr="00881CB0">
        <w:rPr>
          <w:rFonts w:ascii="Garamond" w:hAnsi="Garamond" w:cs="Tahoma"/>
          <w:color w:val="000000"/>
          <w:sz w:val="28"/>
          <w:szCs w:val="28"/>
          <w:lang w:eastAsia="en-US"/>
        </w:rPr>
        <w:t>, a następnie informowano skarżącego o zajętym stanowisku, przedstawiając jednocześnie zakres uprawnień nadzorczych i ustrojowych Ministra Sprawiedliwości.</w:t>
      </w:r>
    </w:p>
    <w:p w:rsidR="00881CB0" w:rsidRPr="00881CB0" w:rsidRDefault="00881CB0" w:rsidP="00881CB0">
      <w:pPr>
        <w:spacing w:line="360" w:lineRule="auto"/>
        <w:ind w:firstLine="708"/>
        <w:jc w:val="both"/>
        <w:rPr>
          <w:rFonts w:cs="Tahoma"/>
          <w:lang w:eastAsia="en-US"/>
        </w:rPr>
      </w:pPr>
      <w:r w:rsidRPr="00881CB0">
        <w:rPr>
          <w:rFonts w:ascii="Garamond" w:hAnsi="Garamond" w:cs="Tahoma"/>
          <w:color w:val="000000"/>
          <w:sz w:val="28"/>
          <w:szCs w:val="28"/>
          <w:lang w:eastAsia="en-US"/>
        </w:rPr>
        <w:t xml:space="preserve">Skargi dotyczące biegłych sądowych w przeważającej mierze były przekazywane prezesom właściwym sądów okręgowych, z prośbą                             o poinformowanie o sposobie ich rozpatrzenia. Zgodnie z § 17 rozporządzenia Ministra Sprawiedliwości z dnia 24 stycznia 2005 r. </w:t>
      </w:r>
      <w:r w:rsidRPr="00881CB0">
        <w:rPr>
          <w:rFonts w:ascii="Garamond" w:hAnsi="Garamond" w:cs="Tahoma"/>
          <w:i/>
          <w:color w:val="000000"/>
          <w:sz w:val="28"/>
          <w:szCs w:val="28"/>
          <w:lang w:eastAsia="en-US"/>
        </w:rPr>
        <w:t>w sprawie biegłych sądowych</w:t>
      </w:r>
      <w:r w:rsidRPr="00881CB0">
        <w:rPr>
          <w:rFonts w:ascii="Garamond" w:hAnsi="Garamond" w:cs="Tahoma"/>
          <w:color w:val="000000"/>
          <w:sz w:val="28"/>
          <w:szCs w:val="28"/>
          <w:lang w:eastAsia="en-US"/>
        </w:rPr>
        <w:t xml:space="preserve">  nadzór nad biegłymi sądowymi należy do prezesów sądów okręgowych.</w:t>
      </w:r>
    </w:p>
    <w:p w:rsidR="00881CB0" w:rsidRPr="00881CB0" w:rsidRDefault="00881CB0" w:rsidP="00881CB0">
      <w:pPr>
        <w:spacing w:line="360" w:lineRule="auto"/>
        <w:ind w:firstLine="708"/>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Skargi na tłumaczy przysięgłych kierowano do Komisji Odpowiedzialności Zawodowej Tłumaczy Przysięgłych.</w:t>
      </w:r>
    </w:p>
    <w:p w:rsidR="00881CB0" w:rsidRPr="00881CB0" w:rsidRDefault="00881CB0" w:rsidP="00881CB0">
      <w:pPr>
        <w:spacing w:line="360" w:lineRule="auto"/>
        <w:ind w:firstLine="709"/>
        <w:jc w:val="both"/>
        <w:rPr>
          <w:rFonts w:cs="Tahoma"/>
          <w:lang w:eastAsia="en-US"/>
        </w:rPr>
      </w:pPr>
      <w:r w:rsidRPr="00881CB0">
        <w:rPr>
          <w:rFonts w:ascii="Garamond" w:hAnsi="Garamond" w:cs="Tahoma"/>
          <w:color w:val="000000"/>
          <w:sz w:val="28"/>
          <w:szCs w:val="28"/>
          <w:lang w:eastAsia="pl-PL"/>
        </w:rPr>
        <w:t>Natom</w:t>
      </w:r>
      <w:r w:rsidR="00EB03A0">
        <w:rPr>
          <w:rFonts w:ascii="Garamond" w:hAnsi="Garamond" w:cs="Tahoma"/>
          <w:color w:val="000000"/>
          <w:sz w:val="28"/>
          <w:szCs w:val="28"/>
          <w:lang w:eastAsia="pl-PL"/>
        </w:rPr>
        <w:t>iast korespondencja skargowa (bardzo</w:t>
      </w:r>
      <w:r w:rsidRPr="00881CB0">
        <w:rPr>
          <w:rFonts w:ascii="Garamond" w:hAnsi="Garamond" w:cs="Tahoma"/>
          <w:color w:val="000000"/>
          <w:sz w:val="28"/>
          <w:szCs w:val="28"/>
          <w:lang w:eastAsia="pl-PL"/>
        </w:rPr>
        <w:t xml:space="preserve"> liczna) zawierająca zarzuty </w:t>
      </w:r>
      <w:r w:rsidR="00EB03A0">
        <w:rPr>
          <w:rFonts w:ascii="Garamond" w:hAnsi="Garamond" w:cs="Tahoma"/>
          <w:color w:val="000000"/>
          <w:sz w:val="28"/>
          <w:szCs w:val="28"/>
          <w:lang w:eastAsia="pl-PL"/>
        </w:rPr>
        <w:t xml:space="preserve">    </w:t>
      </w:r>
      <w:r w:rsidRPr="00881CB0">
        <w:rPr>
          <w:rFonts w:ascii="Garamond" w:hAnsi="Garamond" w:cs="Tahoma"/>
          <w:color w:val="000000"/>
          <w:sz w:val="28"/>
          <w:szCs w:val="28"/>
          <w:lang w:eastAsia="pl-PL"/>
        </w:rPr>
        <w:t>pod adresem jednostek organizacyjnych prokuratury lub poruszająca kwestie pozostające w zakresie kompetencji prokuratury była przekazywana do P</w:t>
      </w:r>
      <w:r w:rsidR="00EB03A0">
        <w:rPr>
          <w:rFonts w:ascii="Garamond" w:hAnsi="Garamond" w:cs="Tahoma"/>
          <w:color w:val="000000"/>
          <w:sz w:val="28"/>
          <w:szCs w:val="28"/>
          <w:lang w:eastAsia="pl-PL"/>
        </w:rPr>
        <w:t>rokuratury Krajowej w Warszawie</w:t>
      </w:r>
      <w:r w:rsidRPr="00881CB0">
        <w:rPr>
          <w:rFonts w:ascii="Garamond" w:hAnsi="Garamond" w:cs="Tahoma"/>
          <w:color w:val="000000"/>
          <w:sz w:val="28"/>
          <w:szCs w:val="28"/>
          <w:lang w:eastAsia="pl-PL"/>
        </w:rPr>
        <w:t>, która stosownie do art.</w:t>
      </w:r>
      <w:r w:rsidR="00A77900">
        <w:rPr>
          <w:rFonts w:ascii="Garamond" w:hAnsi="Garamond" w:cs="Tahoma"/>
          <w:color w:val="000000"/>
          <w:sz w:val="28"/>
          <w:szCs w:val="28"/>
          <w:lang w:eastAsia="pl-PL"/>
        </w:rPr>
        <w:t xml:space="preserve"> </w:t>
      </w:r>
      <w:r w:rsidRPr="00881CB0">
        <w:rPr>
          <w:rFonts w:ascii="Garamond" w:hAnsi="Garamond" w:cs="Tahoma"/>
          <w:color w:val="000000"/>
          <w:sz w:val="28"/>
          <w:szCs w:val="28"/>
          <w:lang w:eastAsia="pl-PL"/>
        </w:rPr>
        <w:t>17</w:t>
      </w:r>
      <w:r w:rsidR="00A77900">
        <w:rPr>
          <w:rFonts w:ascii="Garamond" w:hAnsi="Garamond" w:cs="Tahoma"/>
          <w:color w:val="000000"/>
          <w:sz w:val="28"/>
          <w:szCs w:val="28"/>
          <w:lang w:eastAsia="pl-PL"/>
        </w:rPr>
        <w:t xml:space="preserve"> </w:t>
      </w:r>
      <w:r w:rsidRPr="00881CB0">
        <w:rPr>
          <w:rFonts w:ascii="Garamond" w:hAnsi="Garamond" w:cs="Tahoma"/>
          <w:color w:val="000000"/>
          <w:sz w:val="28"/>
          <w:szCs w:val="28"/>
          <w:lang w:eastAsia="pl-PL"/>
        </w:rPr>
        <w:t>§</w:t>
      </w:r>
      <w:r w:rsidR="00A77900">
        <w:rPr>
          <w:rFonts w:ascii="Garamond" w:hAnsi="Garamond" w:cs="Tahoma"/>
          <w:color w:val="000000"/>
          <w:sz w:val="28"/>
          <w:szCs w:val="28"/>
          <w:lang w:eastAsia="pl-PL"/>
        </w:rPr>
        <w:t xml:space="preserve"> </w:t>
      </w:r>
      <w:r w:rsidRPr="00881CB0">
        <w:rPr>
          <w:rFonts w:ascii="Garamond" w:hAnsi="Garamond" w:cs="Tahoma"/>
          <w:color w:val="000000"/>
          <w:sz w:val="28"/>
          <w:szCs w:val="28"/>
          <w:lang w:eastAsia="pl-PL"/>
        </w:rPr>
        <w:t xml:space="preserve">1 ustawy – </w:t>
      </w:r>
      <w:r w:rsidRPr="00881CB0">
        <w:rPr>
          <w:rFonts w:ascii="Garamond" w:hAnsi="Garamond" w:cs="Tahoma"/>
          <w:i/>
          <w:iCs/>
          <w:color w:val="000000"/>
          <w:sz w:val="28"/>
          <w:szCs w:val="28"/>
          <w:lang w:eastAsia="pl-PL"/>
        </w:rPr>
        <w:t xml:space="preserve">Prawo o prokuraturze </w:t>
      </w:r>
      <w:r w:rsidRPr="00881CB0">
        <w:rPr>
          <w:rFonts w:ascii="Garamond" w:hAnsi="Garamond" w:cs="Tahoma"/>
          <w:color w:val="000000"/>
          <w:sz w:val="28"/>
          <w:szCs w:val="28"/>
          <w:lang w:eastAsia="pl-PL"/>
        </w:rPr>
        <w:t>zapewnia obsługę Prokuratora Generalnego.</w:t>
      </w:r>
    </w:p>
    <w:p w:rsidR="002D073C" w:rsidRPr="002D073C" w:rsidRDefault="002D073C" w:rsidP="00881CB0">
      <w:pPr>
        <w:spacing w:line="360" w:lineRule="auto"/>
        <w:ind w:firstLine="709"/>
        <w:jc w:val="both"/>
        <w:rPr>
          <w:rFonts w:cs="Tahoma"/>
          <w:sz w:val="18"/>
          <w:szCs w:val="18"/>
          <w:lang w:eastAsia="en-US"/>
        </w:rPr>
      </w:pPr>
    </w:p>
    <w:p w:rsidR="00881CB0" w:rsidRPr="00881CB0" w:rsidRDefault="00881CB0" w:rsidP="00881CB0">
      <w:pPr>
        <w:spacing w:line="360" w:lineRule="auto"/>
        <w:ind w:firstLine="708"/>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Przykłady skarg uznanych za zasadne:</w:t>
      </w:r>
    </w:p>
    <w:p w:rsidR="00881CB0" w:rsidRPr="00881CB0" w:rsidRDefault="00881CB0" w:rsidP="00881CB0">
      <w:pPr>
        <w:spacing w:line="360" w:lineRule="auto"/>
        <w:ind w:firstLine="708"/>
        <w:jc w:val="both"/>
        <w:rPr>
          <w:rFonts w:ascii="Garamond" w:hAnsi="Garamond" w:cs="Tahoma"/>
          <w:color w:val="000000"/>
          <w:sz w:val="10"/>
          <w:szCs w:val="10"/>
          <w:lang w:eastAsia="en-US"/>
        </w:rPr>
      </w:pPr>
    </w:p>
    <w:p w:rsidR="00881CB0" w:rsidRPr="00881CB0" w:rsidRDefault="00881CB0" w:rsidP="00881CB0">
      <w:pPr>
        <w:numPr>
          <w:ilvl w:val="0"/>
          <w:numId w:val="8"/>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 xml:space="preserve">za zasadną uznano anonimową skargę dotyczącą wydania przez sędziego wyroku nakazowego pomimo zakazu wydania takiego orzeczenia, gdyż oskarżonemu ustanowiono w postępowaniu przygotowawczym obrońcę           z urzędu z uwagi na uzasadnioną wątpliwość co do zdolności rozpoznania znaczenia czynu lub kierowania swoim postępowaniem (co wyklucza dopuszczalność wydania wyroku nakazowego). W przedmiotowej sprawie Minister Sprawiedliwości wystąpił do Zastępcy Rzecznika Dyscyplinarnego                   </w:t>
      </w:r>
      <w:r w:rsidRPr="00881CB0">
        <w:rPr>
          <w:rFonts w:ascii="Garamond" w:hAnsi="Garamond" w:cs="Tahoma"/>
          <w:color w:val="000000"/>
          <w:sz w:val="28"/>
          <w:szCs w:val="28"/>
          <w:lang w:eastAsia="en-US"/>
        </w:rPr>
        <w:lastRenderedPageBreak/>
        <w:t>o podjęcie w stosunku do sędziego czynności dyscyplinarnych;</w:t>
      </w:r>
    </w:p>
    <w:p w:rsidR="00881CB0" w:rsidRPr="00881CB0" w:rsidRDefault="00881CB0" w:rsidP="00881CB0">
      <w:pPr>
        <w:numPr>
          <w:ilvl w:val="0"/>
          <w:numId w:val="8"/>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za zasadną uznano skargę zawierającą zarzut dotyczący uzasadnienia wyroku, które nie dotyczyło rozpoznawanej sprawy lecz odnosiło się do innej sprawy rozpoznanej przez ten sąd. Minister Sprawiedliwości wystąpił do Rzecznika Dyscyplinarnego o podjęcie czynności dyscyplinarnych w stosunku do orzekających w sprawie sędziów, którzy sporządzili uzasadnienie wyroku niespełniające wymogów prawnych;</w:t>
      </w:r>
    </w:p>
    <w:p w:rsidR="00881CB0" w:rsidRPr="00881CB0" w:rsidRDefault="00881CB0" w:rsidP="00881CB0">
      <w:pPr>
        <w:numPr>
          <w:ilvl w:val="0"/>
          <w:numId w:val="8"/>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 xml:space="preserve">za uzasadnioną uznano skargę zawierającą zarzut dotyczący niezwrócenia (fizycznego) pozwu pomimo uprawomocnienia się zarządzenia sądu w tym przedmiocie. Skargę przekazano do prezesa sądu okręgowego przełożonego nad sądem, w którym doszło do naruszenia prawa. Prezes sądu okręgowego zwrócił na to uchybienie uwagę sądowi rejonowemu, w którym doszło </w:t>
      </w:r>
      <w:r w:rsidR="00AA4429">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do nieprawidłowości;</w:t>
      </w:r>
    </w:p>
    <w:p w:rsidR="00881CB0" w:rsidRPr="00881CB0" w:rsidRDefault="00881CB0" w:rsidP="00881CB0">
      <w:pPr>
        <w:numPr>
          <w:ilvl w:val="0"/>
          <w:numId w:val="8"/>
        </w:numPr>
        <w:spacing w:line="360" w:lineRule="auto"/>
        <w:jc w:val="both"/>
        <w:rPr>
          <w:rFonts w:ascii="Garamond" w:hAnsi="Garamond" w:cs="Tahoma"/>
          <w:color w:val="000000"/>
          <w:sz w:val="28"/>
          <w:szCs w:val="28"/>
          <w:lang w:eastAsia="en-US"/>
        </w:rPr>
      </w:pPr>
      <w:r w:rsidRPr="00881CB0">
        <w:rPr>
          <w:rFonts w:ascii="Garamond" w:hAnsi="Garamond" w:cs="Tahoma"/>
          <w:color w:val="000000"/>
          <w:sz w:val="28"/>
          <w:szCs w:val="28"/>
          <w:lang w:eastAsia="en-US"/>
        </w:rPr>
        <w:t>zasadna okazała się skarga zawierająca zarzut dokonania przez sędziego zmiany w trybie sprostowania omyłki pisarskiej ogłoszonego postanowienia o stwierdzeniu nabycia spadku, poprzez zmianę kręgu spadkobierców oraz udziałów w spadku. Kopię skargi przekazano do właściwego Zastępcy Rzecznika Dyscyplinarnego w celu rozważenia zasadności podjęcia czynności dyscyplinarnych z własnej inicjatywy Rzecznika. Zastępca Rzecznika Dyscyplinarnego wszczął postępowanie dyscyplinarne z własnej inicjatywy;</w:t>
      </w:r>
    </w:p>
    <w:p w:rsidR="00881CB0" w:rsidRPr="00881CB0" w:rsidRDefault="00881CB0" w:rsidP="00881CB0">
      <w:pPr>
        <w:numPr>
          <w:ilvl w:val="0"/>
          <w:numId w:val="8"/>
        </w:numPr>
        <w:spacing w:line="360" w:lineRule="auto"/>
        <w:jc w:val="both"/>
        <w:rPr>
          <w:rFonts w:cs="Tahoma"/>
          <w:lang w:eastAsia="en-US"/>
        </w:rPr>
      </w:pPr>
      <w:r w:rsidRPr="00881CB0">
        <w:rPr>
          <w:rFonts w:ascii="Garamond" w:hAnsi="Garamond" w:cs="Tahoma"/>
          <w:color w:val="000000"/>
          <w:sz w:val="28"/>
          <w:szCs w:val="28"/>
          <w:lang w:eastAsia="en-US"/>
        </w:rPr>
        <w:t xml:space="preserve">w sprawie DWOiP-V-051-21/16 zarzuty dotyczyły bezskuteczności egzekucji świadczeń alimentacyjnych w postępowaniu egzekucyjnym prowadzonym przez komornika sądowego. Po zbadaniu skargi stwierdzono uchybienia w działalności komornika polegające na nieprzeprowadzeniu czynności terenowej w miejscu zamieszkania dłużnika, celem odebrania       od niego wyjaśnień i ustalenia majątku ruchomego podlegającego zajęciu oraz niepodejmowaniu czynności, do których komornik był zobowiązany przepisem art. 1086 k.p.c. Przedmiotowe postępowanie zostało objęte czasowym nadzorem prezesa sądu okręgowego, który podjął niezwłoczne działania zmierzające do usunięcia stwierdzonych uchybień. Komornik </w:t>
      </w:r>
      <w:r w:rsidRPr="00881CB0">
        <w:rPr>
          <w:rFonts w:ascii="Garamond" w:hAnsi="Garamond" w:cs="Tahoma"/>
          <w:color w:val="000000"/>
          <w:sz w:val="28"/>
          <w:szCs w:val="28"/>
          <w:lang w:eastAsia="en-US"/>
        </w:rPr>
        <w:lastRenderedPageBreak/>
        <w:t>podjął czynności terenowe w miejscu zamieszkania dłużnika;</w:t>
      </w:r>
    </w:p>
    <w:p w:rsidR="00881CB0" w:rsidRPr="00881CB0" w:rsidRDefault="00881CB0" w:rsidP="00881CB0">
      <w:pPr>
        <w:numPr>
          <w:ilvl w:val="0"/>
          <w:numId w:val="8"/>
        </w:numPr>
        <w:spacing w:line="360" w:lineRule="auto"/>
        <w:jc w:val="both"/>
        <w:rPr>
          <w:rFonts w:cs="Tahoma"/>
          <w:lang w:eastAsia="en-US"/>
        </w:rPr>
      </w:pPr>
      <w:r w:rsidRPr="00881CB0">
        <w:rPr>
          <w:rFonts w:ascii="Garamond" w:hAnsi="Garamond" w:cs="Tahoma"/>
          <w:color w:val="000000"/>
          <w:sz w:val="28"/>
          <w:szCs w:val="28"/>
          <w:lang w:eastAsia="en-US"/>
        </w:rPr>
        <w:t>w sprawie DWOiP-V-051-63/16 zarzuty skarżącego dotyczyły funkcjonowania szpitala oraz postępowania egzekucyjnego prowadzonego przeciwko szpitalowi przez komornika sądowego. Po zbadaniu skargi stwierdzono uchybienia w działalności komornika w zakresie rozliczenia kosztów postępowania zabezpieczającego. W związku ze stwierdzonymi uchybieniami prezes sądu rejonowego zainicjował nadzorcze postępowanie judykacyjne w trybie art. 759</w:t>
      </w:r>
      <w:r w:rsidR="00453D9E">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w:t>
      </w:r>
      <w:r w:rsidR="00453D9E">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2 k.p.c. W wyniku tego postępowania stwierdzone uchybienia zostały usunięte przez sąd rejonowy;</w:t>
      </w:r>
    </w:p>
    <w:p w:rsidR="00881CB0" w:rsidRPr="00881CB0" w:rsidRDefault="00881CB0" w:rsidP="00881CB0">
      <w:pPr>
        <w:numPr>
          <w:ilvl w:val="0"/>
          <w:numId w:val="8"/>
        </w:numPr>
        <w:spacing w:line="360" w:lineRule="auto"/>
        <w:jc w:val="both"/>
        <w:rPr>
          <w:rFonts w:cs="Tahoma"/>
          <w:lang w:eastAsia="en-US"/>
        </w:rPr>
      </w:pPr>
      <w:r w:rsidRPr="00881CB0">
        <w:rPr>
          <w:rFonts w:ascii="Garamond" w:hAnsi="Garamond" w:cs="Tahoma"/>
          <w:color w:val="000000"/>
          <w:sz w:val="28"/>
          <w:szCs w:val="28"/>
          <w:lang w:eastAsia="en-US"/>
        </w:rPr>
        <w:t>w sprawie DWOiP-V-051-110/16 zarzuty dotyczyły opieszałości                  w prowadzeniu egzekucji z nieruchomości przez komornika sądowego.         Po zbadaniu skargi stwierdzono uchybienia w działalności komornika polegające na braku podejmowania czynności w prowadzonym postępowaniu, w szczególności dotyczących przeprowadzenia opisu                i oszacowania nieruchomości. W związku ze stwierdzonymi uchybieniami prezes sądu okręgowego w piśmie dyscyplinującym zwrócił uwagę komornikowi na obowiązek przestrzegania art. 767</w:t>
      </w:r>
      <w:r w:rsidRPr="00881CB0">
        <w:rPr>
          <w:rFonts w:ascii="Garamond" w:hAnsi="Garamond" w:cs="Tahoma"/>
          <w:color w:val="000000"/>
          <w:sz w:val="28"/>
          <w:szCs w:val="28"/>
          <w:vertAlign w:val="superscript"/>
          <w:lang w:eastAsia="en-US"/>
        </w:rPr>
        <w:t>2</w:t>
      </w:r>
      <w:r w:rsidR="00453D9E">
        <w:rPr>
          <w:rFonts w:ascii="Garamond" w:hAnsi="Garamond" w:cs="Tahoma"/>
          <w:color w:val="000000"/>
          <w:sz w:val="28"/>
          <w:szCs w:val="28"/>
          <w:vertAlign w:val="superscript"/>
          <w:lang w:eastAsia="en-US"/>
        </w:rPr>
        <w:t xml:space="preserve"> </w:t>
      </w:r>
      <w:r w:rsidRPr="00881CB0">
        <w:rPr>
          <w:rFonts w:ascii="Garamond" w:hAnsi="Garamond" w:cs="Tahoma"/>
          <w:color w:val="000000"/>
          <w:sz w:val="28"/>
          <w:szCs w:val="28"/>
          <w:lang w:eastAsia="en-US"/>
        </w:rPr>
        <w:t>§</w:t>
      </w:r>
      <w:r w:rsidR="00453D9E">
        <w:rPr>
          <w:rFonts w:ascii="Garamond" w:hAnsi="Garamond" w:cs="Tahoma"/>
          <w:color w:val="000000"/>
          <w:sz w:val="28"/>
          <w:szCs w:val="28"/>
          <w:lang w:eastAsia="en-US"/>
        </w:rPr>
        <w:t xml:space="preserve"> </w:t>
      </w:r>
      <w:r w:rsidRPr="00881CB0">
        <w:rPr>
          <w:rFonts w:ascii="Garamond" w:hAnsi="Garamond" w:cs="Tahoma"/>
          <w:color w:val="000000"/>
          <w:sz w:val="28"/>
          <w:szCs w:val="28"/>
          <w:lang w:eastAsia="en-US"/>
        </w:rPr>
        <w:t>2 k.p.c;</w:t>
      </w:r>
    </w:p>
    <w:p w:rsidR="00881CB0" w:rsidRPr="002D073C" w:rsidRDefault="00881CB0" w:rsidP="00881CB0">
      <w:pPr>
        <w:numPr>
          <w:ilvl w:val="0"/>
          <w:numId w:val="8"/>
        </w:numPr>
        <w:spacing w:line="360" w:lineRule="auto"/>
        <w:jc w:val="both"/>
        <w:rPr>
          <w:rFonts w:cs="Tahoma"/>
          <w:lang w:eastAsia="en-US"/>
        </w:rPr>
      </w:pPr>
      <w:r w:rsidRPr="00881CB0">
        <w:rPr>
          <w:rFonts w:ascii="Garamond" w:hAnsi="Garamond" w:cs="Tahoma"/>
          <w:color w:val="000000"/>
          <w:sz w:val="28"/>
          <w:szCs w:val="28"/>
          <w:lang w:eastAsia="en-US"/>
        </w:rPr>
        <w:t>w sprawie DWOiP-V-051-112/16 skarżący – dyrektor powiatowego urzędu pracy sformułował zarzuty dotyczące nieprawidłowości przy udzielaniu informacji przez uczestników postępowania oraz inne podmioty wymienione w art. 761 k.p.c. w postępowaniu egzekucyjnym prowadzonym przez komornika sądowego. W przedmiotowej sprawie komornik wystąpił do dyrektora powiatowego urzędu pracy z 209 żądaniami udzielenia informacji w siedmiodniowym terminie pod groźbą grzywny. Po zbadaniu skargi prezes sądu okręgowego zwrócił komornikowi uwagę, że zakreślony termin ma charakter instrukcyjny i w przypadku tak dużej ilości żądań organ egzekucyjny winien uwzględnić faktyczną możliwość udzielenia informacji przez właściwy podmiot. Ponadto komornik został zobowiązany do uzgadniania z właściwymi podmiotami realnych terminów realizacji               w przypadku dużej liczby żądań o udzielenie informacji;</w:t>
      </w:r>
    </w:p>
    <w:p w:rsidR="002D073C" w:rsidRPr="00881CB0" w:rsidRDefault="002D073C" w:rsidP="002D073C">
      <w:pPr>
        <w:spacing w:line="360" w:lineRule="auto"/>
        <w:ind w:left="720"/>
        <w:jc w:val="both"/>
        <w:rPr>
          <w:rFonts w:cs="Tahoma"/>
          <w:lang w:eastAsia="en-US"/>
        </w:rPr>
      </w:pPr>
    </w:p>
    <w:p w:rsidR="00881CB0" w:rsidRPr="00881CB0" w:rsidRDefault="00881CB0" w:rsidP="00881CB0">
      <w:pPr>
        <w:numPr>
          <w:ilvl w:val="0"/>
          <w:numId w:val="8"/>
        </w:numPr>
        <w:spacing w:line="360" w:lineRule="auto"/>
        <w:jc w:val="both"/>
        <w:rPr>
          <w:rFonts w:cs="Tahoma"/>
          <w:lang w:eastAsia="en-US"/>
        </w:rPr>
      </w:pPr>
      <w:r w:rsidRPr="00881CB0">
        <w:rPr>
          <w:rFonts w:ascii="Garamond" w:hAnsi="Garamond" w:cs="Tahoma"/>
          <w:color w:val="000000"/>
          <w:sz w:val="28"/>
          <w:szCs w:val="28"/>
          <w:lang w:eastAsia="en-US"/>
        </w:rPr>
        <w:lastRenderedPageBreak/>
        <w:t>w sprawie DZP-IV-0511-43/17 (poprzednio DZP-IV-052-58/16) skarżąca spółka z ograniczoną odpowiedzialności</w:t>
      </w:r>
      <w:r w:rsidR="00EB03A0">
        <w:rPr>
          <w:rFonts w:ascii="Garamond" w:hAnsi="Garamond" w:cs="Tahoma"/>
          <w:color w:val="000000"/>
          <w:sz w:val="28"/>
          <w:szCs w:val="28"/>
          <w:lang w:eastAsia="en-US"/>
        </w:rPr>
        <w:t>ą</w:t>
      </w:r>
      <w:r w:rsidRPr="00881CB0">
        <w:rPr>
          <w:rFonts w:ascii="Garamond" w:hAnsi="Garamond" w:cs="Tahoma"/>
          <w:color w:val="000000"/>
          <w:sz w:val="28"/>
          <w:szCs w:val="28"/>
          <w:lang w:eastAsia="en-US"/>
        </w:rPr>
        <w:t xml:space="preserve"> zarzuciła notariusz dokonanie sprostowania aktu notarialnego z naruszeniem art. 80 § 4 ustawy – </w:t>
      </w:r>
      <w:r w:rsidRPr="00881CB0">
        <w:rPr>
          <w:rFonts w:ascii="Garamond" w:hAnsi="Garamond" w:cs="Tahoma"/>
          <w:i/>
          <w:iCs/>
          <w:color w:val="000000"/>
          <w:sz w:val="28"/>
          <w:szCs w:val="28"/>
          <w:lang w:eastAsia="en-US"/>
        </w:rPr>
        <w:t>Prawo          o</w:t>
      </w:r>
      <w:r w:rsidRPr="00881CB0">
        <w:rPr>
          <w:rFonts w:ascii="Garamond" w:hAnsi="Garamond" w:cs="Tahoma"/>
          <w:color w:val="000000"/>
          <w:sz w:val="28"/>
          <w:szCs w:val="28"/>
          <w:lang w:eastAsia="en-US"/>
        </w:rPr>
        <w:t xml:space="preserve"> </w:t>
      </w:r>
      <w:r w:rsidRPr="00881CB0">
        <w:rPr>
          <w:rFonts w:ascii="Garamond" w:hAnsi="Garamond" w:cs="Tahoma"/>
          <w:i/>
          <w:iCs/>
          <w:color w:val="000000"/>
          <w:sz w:val="28"/>
          <w:szCs w:val="28"/>
          <w:lang w:eastAsia="en-US"/>
        </w:rPr>
        <w:t>notariacie</w:t>
      </w:r>
      <w:r w:rsidRPr="00881CB0">
        <w:rPr>
          <w:rFonts w:ascii="Garamond" w:hAnsi="Garamond" w:cs="Tahoma"/>
          <w:color w:val="000000"/>
          <w:sz w:val="28"/>
          <w:szCs w:val="28"/>
          <w:lang w:eastAsia="en-US"/>
        </w:rPr>
        <w:t xml:space="preserve">, tj. w taki sposób, że w istocie doszło do merytorycznej zmiany treści objętego tym aktem „Protokołu z obrad Nadzwyczajnego Walnego Zgromadzenia Wspólników”. Po analizie skargi wystąpiono do prezesa sądu apelacyjnego o zbadanie sprawy, zaś po zapoznaniu się z odpowiedzią udzieloną przez prezesa sądu apelacyjnego pełnomocnikowi skarżącej, wysłuchano notariusz w trybie art. 58 ustawy – </w:t>
      </w:r>
      <w:r w:rsidRPr="00881CB0">
        <w:rPr>
          <w:rFonts w:ascii="Garamond" w:hAnsi="Garamond" w:cs="Tahoma"/>
          <w:i/>
          <w:iCs/>
          <w:color w:val="000000"/>
          <w:sz w:val="28"/>
          <w:szCs w:val="28"/>
          <w:lang w:eastAsia="en-US"/>
        </w:rPr>
        <w:t xml:space="preserve">Prawo o notariacie. </w:t>
      </w:r>
      <w:r w:rsidRPr="00881CB0">
        <w:rPr>
          <w:rFonts w:ascii="Garamond" w:hAnsi="Garamond" w:cs="Tahoma"/>
          <w:color w:val="000000"/>
          <w:sz w:val="28"/>
          <w:szCs w:val="28"/>
          <w:lang w:eastAsia="en-US"/>
        </w:rPr>
        <w:t xml:space="preserve">Następnie Minister Sprawiedliwości skierował wniosek o wszczęcie postępowania dyscyplinarnego. Orzeczeniem Sądu Dyscyplinarnego Izby Notarialnej uznano notariusz za winną zarzucanego jej czynu z art. 50 w zw. z art.        80 § 2 i § 4 ustawy – </w:t>
      </w:r>
      <w:r w:rsidRPr="00881CB0">
        <w:rPr>
          <w:rFonts w:ascii="Garamond" w:hAnsi="Garamond" w:cs="Tahoma"/>
          <w:i/>
          <w:iCs/>
          <w:color w:val="000000"/>
          <w:sz w:val="28"/>
          <w:szCs w:val="28"/>
          <w:lang w:eastAsia="en-US"/>
        </w:rPr>
        <w:t>Prawo o notariacie;</w:t>
      </w:r>
    </w:p>
    <w:p w:rsidR="00881CB0" w:rsidRPr="00881CB0" w:rsidRDefault="00881CB0" w:rsidP="00881CB0">
      <w:pPr>
        <w:numPr>
          <w:ilvl w:val="0"/>
          <w:numId w:val="8"/>
        </w:numPr>
        <w:spacing w:line="360" w:lineRule="auto"/>
        <w:jc w:val="both"/>
        <w:rPr>
          <w:rFonts w:cs="Tahoma"/>
          <w:lang w:eastAsia="en-US"/>
        </w:rPr>
      </w:pPr>
      <w:r w:rsidRPr="00881CB0">
        <w:rPr>
          <w:rFonts w:ascii="Garamond" w:hAnsi="Garamond" w:cs="Tahoma"/>
          <w:color w:val="000000"/>
          <w:sz w:val="28"/>
          <w:szCs w:val="28"/>
          <w:lang w:eastAsia="en-US"/>
        </w:rPr>
        <w:t xml:space="preserve">w sprawie DZP-IV-0511-72/17 (poprzednio DZP-IV-052-90/16) skarżący zarzucił notariusz posłużenie się przy sporządzeniu kwestionowanego aktu notarialnego nieaktualnym wykazem zmian gruntowych i sporządzenie          w konsekwencji nieprawidłowej umowy o przeniesienie własności nieruchomości. Rozpoznając skargę uznano, że choć nie wszystkie zarzuty skarżącego są uzasadnione, przy sporządzeniu kwestionowanego aktu notarialnego notariusz dopuściła się pewnych nieprawidłowości.                  W konsekwencji wystąpiono do prezesa sądu apelacyjnego                             o przeprowadzenie lustracji działalności notariusz w zakresie prawidłowości sporządzania umów przeniesienia własności nieruchomości i wypełniania obowiązków, o których mowa w art. 92 ustawy – </w:t>
      </w:r>
      <w:r w:rsidRPr="00881CB0">
        <w:rPr>
          <w:rFonts w:ascii="Garamond" w:hAnsi="Garamond" w:cs="Tahoma"/>
          <w:i/>
          <w:iCs/>
          <w:color w:val="000000"/>
          <w:sz w:val="28"/>
          <w:szCs w:val="28"/>
          <w:lang w:eastAsia="en-US"/>
        </w:rPr>
        <w:t>Prawo o notariacie</w:t>
      </w:r>
      <w:r w:rsidRPr="00881CB0">
        <w:rPr>
          <w:rFonts w:ascii="Garamond" w:hAnsi="Garamond" w:cs="Tahoma"/>
          <w:color w:val="000000"/>
          <w:sz w:val="28"/>
          <w:szCs w:val="28"/>
          <w:lang w:eastAsia="en-US"/>
        </w:rPr>
        <w:t>;</w:t>
      </w:r>
    </w:p>
    <w:p w:rsidR="00881CB0" w:rsidRPr="00A74CC2" w:rsidRDefault="00881CB0" w:rsidP="00881CB0">
      <w:pPr>
        <w:numPr>
          <w:ilvl w:val="0"/>
          <w:numId w:val="8"/>
        </w:numPr>
        <w:spacing w:line="360" w:lineRule="auto"/>
        <w:jc w:val="both"/>
        <w:rPr>
          <w:rFonts w:cs="Tahoma"/>
          <w:lang w:eastAsia="en-US"/>
        </w:rPr>
      </w:pPr>
      <w:r w:rsidRPr="00881CB0">
        <w:rPr>
          <w:rFonts w:ascii="Garamond" w:hAnsi="Garamond" w:cs="Tahoma"/>
          <w:color w:val="000000"/>
          <w:sz w:val="28"/>
          <w:szCs w:val="28"/>
          <w:lang w:eastAsia="en-US"/>
        </w:rPr>
        <w:t xml:space="preserve">w sprawie DZP-IV-0511-41/17 (poprzednio DZP-IV-052-81/16) skarżąca podniosła, że sporządzony przez notariusza akt notarialny, obejmujący umowę sprzedaży lokalu mieszkalnego oraz ustanowienia nieodpłatnej służebności, został zakwestionowany przez Ministerstwo Spraw Wewnętrznych. W chwili sporządzania umowy skarżąca winna bowiem legitymować się zezwoleniem na nabycie nieruchomości, gdyż nie zamieszkiwała w Polsce co najmniej 5 lat od udzielenia jej zezwolenia           </w:t>
      </w:r>
      <w:r w:rsidRPr="00881CB0">
        <w:rPr>
          <w:rFonts w:ascii="Garamond" w:hAnsi="Garamond" w:cs="Tahoma"/>
          <w:color w:val="000000"/>
          <w:sz w:val="28"/>
          <w:szCs w:val="28"/>
          <w:lang w:eastAsia="en-US"/>
        </w:rPr>
        <w:lastRenderedPageBreak/>
        <w:t xml:space="preserve">na osiedlenie się w Polsce. Notariusz sporządził jednak opisany akt notarialny bez tego zezwolenia. Po przeprowadzeniu postępowania wyjaśniającego oraz wysłuchaniu notariusza w trybie art. 58 ustawy – </w:t>
      </w:r>
      <w:r w:rsidRPr="00881CB0">
        <w:rPr>
          <w:rFonts w:ascii="Garamond" w:hAnsi="Garamond" w:cs="Tahoma"/>
          <w:i/>
          <w:iCs/>
          <w:color w:val="000000"/>
          <w:sz w:val="28"/>
          <w:szCs w:val="28"/>
          <w:lang w:eastAsia="en-US"/>
        </w:rPr>
        <w:t>Prawo     o notariacie</w:t>
      </w:r>
      <w:r w:rsidRPr="00881CB0">
        <w:rPr>
          <w:rFonts w:ascii="Garamond" w:hAnsi="Garamond" w:cs="Tahoma"/>
          <w:color w:val="000000"/>
          <w:sz w:val="28"/>
          <w:szCs w:val="28"/>
          <w:lang w:eastAsia="en-US"/>
        </w:rPr>
        <w:t>, Minister Sprawiedliwości wystąpił z wnioskiem o wszczęcie postępowania dyscyplinarnego przeciwko notariuszowi</w:t>
      </w:r>
      <w:r w:rsidR="00425C56">
        <w:rPr>
          <w:rFonts w:ascii="Garamond" w:hAnsi="Garamond" w:cs="Tahoma"/>
          <w:color w:val="000000"/>
          <w:sz w:val="28"/>
          <w:szCs w:val="28"/>
          <w:lang w:eastAsia="en-US"/>
        </w:rPr>
        <w:t>;</w:t>
      </w:r>
    </w:p>
    <w:p w:rsidR="00425C56" w:rsidRPr="00425C56" w:rsidRDefault="00425C56" w:rsidP="00425C56">
      <w:pPr>
        <w:pStyle w:val="Akapitzlist"/>
        <w:numPr>
          <w:ilvl w:val="0"/>
          <w:numId w:val="8"/>
        </w:numPr>
        <w:spacing w:line="360" w:lineRule="auto"/>
        <w:jc w:val="both"/>
      </w:pPr>
      <w:r w:rsidRPr="00425C56">
        <w:rPr>
          <w:rFonts w:ascii="Garamond" w:hAnsi="Garamond"/>
          <w:color w:val="000000"/>
          <w:sz w:val="28"/>
          <w:szCs w:val="28"/>
        </w:rPr>
        <w:t xml:space="preserve">Nadto zasadna okazała się skarga dotycząca uchybień w procesie udzielenia informacji o osobach (w odpowiedzi udzielonej z Rejestru Karnego brak było imienia, nazwiska i podpisu osoby upoważnionej do jej wydania). </w:t>
      </w:r>
      <w:r w:rsidR="00A74CC2">
        <w:rPr>
          <w:rFonts w:ascii="Garamond" w:hAnsi="Garamond"/>
          <w:color w:val="000000"/>
          <w:sz w:val="28"/>
          <w:szCs w:val="28"/>
        </w:rPr>
        <w:br/>
      </w:r>
      <w:r w:rsidRPr="00425C56">
        <w:rPr>
          <w:rFonts w:ascii="Garamond" w:hAnsi="Garamond"/>
          <w:color w:val="000000"/>
          <w:sz w:val="28"/>
          <w:szCs w:val="28"/>
        </w:rPr>
        <w:t xml:space="preserve">W związku z zaistniałą sytuacją przeprowadzono dodatkowy instruktaż dotyczący prawidłowości stosowania wewnętrznej instrukcji nr 1/2015 </w:t>
      </w:r>
      <w:r w:rsidR="00EB0B12">
        <w:rPr>
          <w:rFonts w:ascii="Garamond" w:hAnsi="Garamond"/>
          <w:color w:val="000000"/>
          <w:sz w:val="28"/>
          <w:szCs w:val="28"/>
        </w:rPr>
        <w:t xml:space="preserve"> </w:t>
      </w:r>
      <w:r w:rsidRPr="00425C56">
        <w:rPr>
          <w:rFonts w:ascii="Garamond" w:hAnsi="Garamond"/>
          <w:color w:val="000000"/>
          <w:sz w:val="28"/>
          <w:szCs w:val="28"/>
        </w:rPr>
        <w:t xml:space="preserve">Biura Informacyjnego Krajowego Rejestru Karnego z dnia 8.06.2015 r. </w:t>
      </w:r>
      <w:r w:rsidR="00EB0B12">
        <w:rPr>
          <w:rFonts w:ascii="Garamond" w:hAnsi="Garamond"/>
          <w:color w:val="000000"/>
          <w:sz w:val="28"/>
          <w:szCs w:val="28"/>
        </w:rPr>
        <w:t xml:space="preserve">         </w:t>
      </w:r>
      <w:r w:rsidRPr="00425C56">
        <w:rPr>
          <w:rFonts w:ascii="Garamond" w:hAnsi="Garamond"/>
          <w:i/>
          <w:iCs/>
          <w:color w:val="000000"/>
          <w:sz w:val="28"/>
          <w:szCs w:val="28"/>
        </w:rPr>
        <w:t>w sprawie szczegółowych zasad i trybu postępowania z korespondencją w Biurze Informacyjnym Krajowego Rejestru</w:t>
      </w:r>
      <w:r w:rsidRPr="00425C56">
        <w:rPr>
          <w:rFonts w:ascii="Garamond" w:hAnsi="Garamond"/>
          <w:color w:val="000000"/>
          <w:sz w:val="28"/>
          <w:szCs w:val="28"/>
        </w:rPr>
        <w:t xml:space="preserve"> </w:t>
      </w:r>
      <w:r w:rsidRPr="00425C56">
        <w:rPr>
          <w:rFonts w:ascii="Garamond" w:hAnsi="Garamond"/>
          <w:i/>
          <w:iCs/>
          <w:color w:val="000000"/>
          <w:sz w:val="28"/>
          <w:szCs w:val="28"/>
        </w:rPr>
        <w:t>Karnego</w:t>
      </w:r>
      <w:r w:rsidRPr="00425C56">
        <w:rPr>
          <w:rFonts w:ascii="Garamond" w:hAnsi="Garamond"/>
          <w:color w:val="000000"/>
          <w:sz w:val="28"/>
          <w:szCs w:val="28"/>
        </w:rPr>
        <w:t xml:space="preserve">, a w szczególności zwrócono uwagę </w:t>
      </w:r>
      <w:r w:rsidR="00A74CC2">
        <w:rPr>
          <w:rFonts w:ascii="Garamond" w:hAnsi="Garamond"/>
          <w:color w:val="000000"/>
          <w:sz w:val="28"/>
          <w:szCs w:val="28"/>
        </w:rPr>
        <w:br/>
      </w:r>
      <w:r w:rsidRPr="00425C56">
        <w:rPr>
          <w:rFonts w:ascii="Garamond" w:hAnsi="Garamond"/>
          <w:color w:val="000000"/>
          <w:sz w:val="28"/>
          <w:szCs w:val="28"/>
        </w:rPr>
        <w:t>na zasady stemplowania zapyta</w:t>
      </w:r>
      <w:r w:rsidR="000C5C45">
        <w:rPr>
          <w:rFonts w:ascii="Garamond" w:hAnsi="Garamond"/>
          <w:color w:val="000000"/>
          <w:sz w:val="28"/>
          <w:szCs w:val="28"/>
        </w:rPr>
        <w:t xml:space="preserve">ń, odpowiedzialność pracowników </w:t>
      </w:r>
      <w:r w:rsidRPr="00425C56">
        <w:rPr>
          <w:rFonts w:ascii="Garamond" w:hAnsi="Garamond"/>
          <w:color w:val="000000"/>
          <w:sz w:val="28"/>
          <w:szCs w:val="28"/>
        </w:rPr>
        <w:t>za realizowanie obowiązków służ</w:t>
      </w:r>
      <w:r w:rsidR="000C5C45">
        <w:rPr>
          <w:rFonts w:ascii="Garamond" w:hAnsi="Garamond"/>
          <w:color w:val="000000"/>
          <w:sz w:val="28"/>
          <w:szCs w:val="28"/>
        </w:rPr>
        <w:t xml:space="preserve">bowych oraz konsekwencje prawne </w:t>
      </w:r>
      <w:r w:rsidRPr="00425C56">
        <w:rPr>
          <w:rFonts w:ascii="Garamond" w:hAnsi="Garamond"/>
          <w:color w:val="000000"/>
          <w:sz w:val="28"/>
          <w:szCs w:val="28"/>
        </w:rPr>
        <w:t>nies</w:t>
      </w:r>
      <w:r>
        <w:rPr>
          <w:rFonts w:ascii="Garamond" w:hAnsi="Garamond"/>
          <w:color w:val="000000"/>
          <w:sz w:val="28"/>
          <w:szCs w:val="28"/>
        </w:rPr>
        <w:t>tarannie wykonywanych czynności;</w:t>
      </w:r>
    </w:p>
    <w:p w:rsidR="00425C56" w:rsidRPr="00A74CC2" w:rsidRDefault="00425C56" w:rsidP="00425C56">
      <w:pPr>
        <w:numPr>
          <w:ilvl w:val="0"/>
          <w:numId w:val="8"/>
        </w:numPr>
        <w:spacing w:line="360" w:lineRule="auto"/>
        <w:jc w:val="both"/>
        <w:rPr>
          <w:rFonts w:cs="Tahoma"/>
          <w:lang w:eastAsia="en-US"/>
        </w:rPr>
      </w:pPr>
      <w:r w:rsidRPr="00881CB0">
        <w:rPr>
          <w:rFonts w:ascii="Garamond" w:hAnsi="Garamond" w:cs="Tahoma"/>
          <w:color w:val="000000"/>
          <w:sz w:val="28"/>
          <w:szCs w:val="28"/>
          <w:lang w:eastAsia="en-US"/>
        </w:rPr>
        <w:t xml:space="preserve">Natomiast na skutek skargi dotyczącej utrudnień (hałas, pył) dla lokali sąsiednich wynikających z prowadzonego remontu w lokalu przy </w:t>
      </w:r>
      <w:r w:rsidR="00A74CC2">
        <w:rPr>
          <w:rFonts w:ascii="Garamond" w:hAnsi="Garamond" w:cs="Tahoma"/>
          <w:color w:val="000000"/>
          <w:sz w:val="28"/>
          <w:szCs w:val="28"/>
          <w:lang w:eastAsia="en-US"/>
        </w:rPr>
        <w:br/>
      </w:r>
      <w:r w:rsidRPr="00881CB0">
        <w:rPr>
          <w:rFonts w:ascii="Garamond" w:hAnsi="Garamond" w:cs="Tahoma"/>
          <w:color w:val="000000"/>
          <w:sz w:val="28"/>
          <w:szCs w:val="28"/>
          <w:lang w:eastAsia="en-US"/>
        </w:rPr>
        <w:t>ul. Zwycięzców 34 w Warszawie, uwzględniono uwagi w zakresie godzin prowadzenia głośnych robót.</w:t>
      </w:r>
    </w:p>
    <w:p w:rsidR="00425C56" w:rsidRPr="00881CB0" w:rsidRDefault="00425C56" w:rsidP="00A74CC2">
      <w:pPr>
        <w:spacing w:line="360" w:lineRule="auto"/>
        <w:ind w:left="720"/>
        <w:jc w:val="both"/>
        <w:rPr>
          <w:rFonts w:cs="Tahoma"/>
          <w:lang w:eastAsia="en-US"/>
        </w:rPr>
      </w:pPr>
    </w:p>
    <w:p w:rsidR="00881CB0" w:rsidRPr="00881CB0" w:rsidRDefault="00881CB0" w:rsidP="00881CB0">
      <w:pPr>
        <w:keepNext/>
        <w:spacing w:before="120" w:line="360" w:lineRule="auto"/>
        <w:ind w:left="357"/>
        <w:jc w:val="center"/>
        <w:rPr>
          <w:rFonts w:ascii="Garamond" w:hAnsi="Garamond" w:cs="Tahoma"/>
          <w:b/>
          <w:sz w:val="28"/>
          <w:szCs w:val="28"/>
          <w:lang w:eastAsia="pl-PL"/>
        </w:rPr>
      </w:pPr>
      <w:r w:rsidRPr="00881CB0">
        <w:rPr>
          <w:rFonts w:ascii="Garamond" w:hAnsi="Garamond" w:cs="Tahoma"/>
          <w:b/>
          <w:sz w:val="28"/>
          <w:szCs w:val="28"/>
          <w:lang w:eastAsia="pl-PL"/>
        </w:rPr>
        <w:t xml:space="preserve">4. Informacja o terminowości załatwienia skarg i wniosków </w:t>
      </w:r>
      <w:r w:rsidRPr="00881CB0">
        <w:rPr>
          <w:rFonts w:ascii="Garamond" w:hAnsi="Garamond" w:cs="Tahoma"/>
          <w:b/>
          <w:sz w:val="28"/>
          <w:szCs w:val="28"/>
          <w:lang w:eastAsia="pl-PL"/>
        </w:rPr>
        <w:br/>
        <w:t>z uwzględnieniem przyczyn przeterminowań</w:t>
      </w:r>
    </w:p>
    <w:p w:rsidR="00881CB0" w:rsidRPr="00881CB0" w:rsidRDefault="00881CB0" w:rsidP="00881CB0">
      <w:pPr>
        <w:ind w:left="360"/>
        <w:rPr>
          <w:rFonts w:ascii="Garamond" w:hAnsi="Garamond" w:cs="Tahoma"/>
          <w:b/>
          <w:sz w:val="28"/>
          <w:szCs w:val="28"/>
          <w:lang w:eastAsia="pl-PL"/>
        </w:rPr>
      </w:pPr>
    </w:p>
    <w:p w:rsidR="00881CB0" w:rsidRDefault="00881CB0" w:rsidP="00881CB0">
      <w:pPr>
        <w:spacing w:line="336" w:lineRule="auto"/>
        <w:ind w:firstLine="708"/>
        <w:jc w:val="both"/>
        <w:rPr>
          <w:rFonts w:ascii="Garamond" w:hAnsi="Garamond" w:cs="Tahoma"/>
          <w:sz w:val="28"/>
          <w:szCs w:val="28"/>
          <w:lang w:eastAsia="pl-PL"/>
        </w:rPr>
      </w:pPr>
      <w:r w:rsidRPr="00881CB0">
        <w:rPr>
          <w:rFonts w:ascii="Garamond" w:hAnsi="Garamond" w:cs="Tahoma"/>
          <w:sz w:val="28"/>
          <w:szCs w:val="28"/>
          <w:lang w:eastAsia="pl-PL"/>
        </w:rPr>
        <w:t>W 2016 r. stwierdzono zdecydowane pogorszenie terminowości załatwienia skarg i wniosków w porównaniu do ubiegłego roku, zwłaszcza w odniesieniu         do korespondencji załatwianej przez Wydział Skarg i Wniosków Biura Kontroli                   i Audytu Wewnętrznego.</w:t>
      </w:r>
    </w:p>
    <w:p w:rsidR="00881CB0" w:rsidRDefault="00881CB0" w:rsidP="00881CB0">
      <w:pPr>
        <w:spacing w:line="336" w:lineRule="auto"/>
        <w:ind w:firstLine="708"/>
        <w:jc w:val="both"/>
        <w:rPr>
          <w:rFonts w:ascii="Garamond" w:hAnsi="Garamond" w:cs="Tahoma"/>
          <w:sz w:val="28"/>
          <w:szCs w:val="28"/>
          <w:lang w:eastAsia="pl-PL"/>
        </w:rPr>
      </w:pPr>
    </w:p>
    <w:p w:rsidR="00881CB0" w:rsidRDefault="00881CB0" w:rsidP="00881CB0">
      <w:pPr>
        <w:spacing w:line="336" w:lineRule="auto"/>
        <w:ind w:firstLine="708"/>
        <w:jc w:val="both"/>
        <w:rPr>
          <w:rFonts w:ascii="Garamond" w:hAnsi="Garamond" w:cs="Tahoma"/>
          <w:sz w:val="28"/>
          <w:szCs w:val="28"/>
          <w:lang w:eastAsia="pl-PL"/>
        </w:rPr>
      </w:pPr>
    </w:p>
    <w:p w:rsidR="00881CB0" w:rsidRPr="00881CB0" w:rsidRDefault="00881CB0" w:rsidP="00881CB0">
      <w:pPr>
        <w:spacing w:line="336" w:lineRule="auto"/>
        <w:ind w:firstLine="708"/>
        <w:jc w:val="both"/>
        <w:rPr>
          <w:rFonts w:ascii="Garamond" w:hAnsi="Garamond" w:cs="Tahoma"/>
          <w:sz w:val="28"/>
          <w:szCs w:val="28"/>
          <w:lang w:eastAsia="pl-PL"/>
        </w:rPr>
      </w:pPr>
    </w:p>
    <w:p w:rsidR="00A74CC2" w:rsidRDefault="00A74CC2" w:rsidP="00AA4429">
      <w:pPr>
        <w:spacing w:line="360" w:lineRule="auto"/>
        <w:jc w:val="both"/>
        <w:rPr>
          <w:rFonts w:ascii="Garamond" w:hAnsi="Garamond" w:cs="Tahoma"/>
          <w:b/>
          <w:sz w:val="28"/>
          <w:szCs w:val="28"/>
          <w:lang w:eastAsia="pl-PL"/>
        </w:rPr>
      </w:pPr>
    </w:p>
    <w:p w:rsidR="00666281" w:rsidRDefault="00881CB0" w:rsidP="00666281">
      <w:pPr>
        <w:spacing w:line="360" w:lineRule="auto"/>
        <w:ind w:left="357" w:hanging="357"/>
        <w:jc w:val="both"/>
        <w:rPr>
          <w:rFonts w:ascii="Garamond" w:hAnsi="Garamond" w:cs="Tahoma"/>
          <w:b/>
          <w:sz w:val="28"/>
          <w:szCs w:val="28"/>
          <w:lang w:eastAsia="pl-PL"/>
        </w:rPr>
      </w:pPr>
      <w:r w:rsidRPr="00881CB0">
        <w:rPr>
          <w:rFonts w:ascii="Garamond" w:hAnsi="Garamond" w:cs="Tahoma"/>
          <w:b/>
          <w:sz w:val="28"/>
          <w:szCs w:val="28"/>
          <w:lang w:eastAsia="pl-PL"/>
        </w:rPr>
        <w:lastRenderedPageBreak/>
        <w:t xml:space="preserve">Terminowość </w:t>
      </w:r>
      <w:r>
        <w:rPr>
          <w:rFonts w:ascii="Garamond" w:hAnsi="Garamond" w:cs="Tahoma"/>
          <w:b/>
          <w:sz w:val="28"/>
          <w:szCs w:val="28"/>
          <w:lang w:eastAsia="pl-PL"/>
        </w:rPr>
        <w:t xml:space="preserve">(w %) </w:t>
      </w:r>
      <w:r w:rsidRPr="00881CB0">
        <w:rPr>
          <w:rFonts w:ascii="Garamond" w:hAnsi="Garamond" w:cs="Tahoma"/>
          <w:b/>
          <w:sz w:val="28"/>
          <w:szCs w:val="28"/>
          <w:lang w:eastAsia="pl-PL"/>
        </w:rPr>
        <w:t>załatwienia s</w:t>
      </w:r>
      <w:r>
        <w:rPr>
          <w:rFonts w:ascii="Garamond" w:hAnsi="Garamond" w:cs="Tahoma"/>
          <w:b/>
          <w:sz w:val="28"/>
          <w:szCs w:val="28"/>
          <w:lang w:eastAsia="pl-PL"/>
        </w:rPr>
        <w:t xml:space="preserve">karg i wniosków skierowanych do </w:t>
      </w:r>
      <w:r w:rsidRPr="00881CB0">
        <w:rPr>
          <w:rFonts w:ascii="Garamond" w:hAnsi="Garamond" w:cs="Tahoma"/>
          <w:b/>
          <w:sz w:val="28"/>
          <w:szCs w:val="28"/>
          <w:lang w:eastAsia="pl-PL"/>
        </w:rPr>
        <w:t>Ministerstwa</w:t>
      </w:r>
      <w:r>
        <w:rPr>
          <w:rFonts w:ascii="Garamond" w:hAnsi="Garamond" w:cs="Tahoma"/>
          <w:b/>
          <w:sz w:val="28"/>
          <w:szCs w:val="28"/>
          <w:lang w:eastAsia="pl-PL"/>
        </w:rPr>
        <w:t xml:space="preserve"> </w:t>
      </w:r>
      <w:r w:rsidRPr="00881CB0">
        <w:rPr>
          <w:rFonts w:ascii="Garamond" w:hAnsi="Garamond" w:cs="Tahoma"/>
          <w:b/>
          <w:sz w:val="28"/>
          <w:szCs w:val="28"/>
          <w:lang w:eastAsia="pl-PL"/>
        </w:rPr>
        <w:t>Sprawiedliwości w latach 2011 – 2016</w:t>
      </w:r>
    </w:p>
    <w:p w:rsidR="002D073C" w:rsidRDefault="002D073C" w:rsidP="00666281">
      <w:pPr>
        <w:spacing w:line="360" w:lineRule="auto"/>
        <w:ind w:left="357" w:hanging="357"/>
        <w:jc w:val="both"/>
        <w:rPr>
          <w:rFonts w:ascii="Garamond" w:hAnsi="Garamond" w:cs="Tahoma"/>
          <w:b/>
          <w:sz w:val="28"/>
          <w:szCs w:val="28"/>
          <w:lang w:eastAsia="pl-PL"/>
        </w:rPr>
      </w:pPr>
    </w:p>
    <w:p w:rsidR="0006029E" w:rsidRDefault="0006029E" w:rsidP="00881CB0">
      <w:pPr>
        <w:spacing w:line="360" w:lineRule="auto"/>
        <w:ind w:left="357" w:hanging="357"/>
        <w:jc w:val="both"/>
        <w:rPr>
          <w:rFonts w:ascii="Garamond" w:hAnsi="Garamond" w:cs="Tahoma"/>
          <w:b/>
          <w:sz w:val="28"/>
          <w:szCs w:val="28"/>
          <w:lang w:eastAsia="pl-PL"/>
        </w:rPr>
      </w:pPr>
      <w:r>
        <w:rPr>
          <w:rFonts w:ascii="Garamond" w:hAnsi="Garamond" w:cs="Tahoma"/>
          <w:b/>
          <w:noProof/>
          <w:sz w:val="28"/>
          <w:szCs w:val="28"/>
          <w:lang w:eastAsia="pl-PL" w:bidi="ar-SA"/>
        </w:rPr>
        <w:drawing>
          <wp:inline distT="0" distB="0" distL="0" distR="0" wp14:anchorId="433C5005" wp14:editId="7BD6B4AB">
            <wp:extent cx="5486400" cy="3200400"/>
            <wp:effectExtent l="0" t="0" r="19050" b="19050"/>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A4429" w:rsidRDefault="00AA4429" w:rsidP="00881CB0">
      <w:pPr>
        <w:spacing w:line="360" w:lineRule="auto"/>
        <w:ind w:left="357" w:hanging="357"/>
        <w:jc w:val="both"/>
        <w:rPr>
          <w:rFonts w:ascii="Garamond" w:hAnsi="Garamond" w:cs="Tahoma"/>
          <w:b/>
          <w:sz w:val="28"/>
          <w:szCs w:val="28"/>
          <w:lang w:eastAsia="pl-PL"/>
        </w:rPr>
      </w:pP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Główną przyczyną niezachowania terminów w rozpoznawaniu skarg                i wniosków był lawinowy wpływ do Ministerstwa Sprawiedliwości w 2016 r. korespondencji od obywateli i nieadekwatna do tego (zdecydowanie za mała) liczba  zarówno pracowników merytorycznych zajmujących się rozpatrywaniem tejże korespondencji, jak i pracowników obsługi sekretarskiej.</w:t>
      </w: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 xml:space="preserve">Jak już wskazano w rozdziale II, w 2016 r. wpłynęło do Ministerstwa Sprawiedliwości </w:t>
      </w:r>
      <w:r w:rsidR="000C6781">
        <w:rPr>
          <w:rFonts w:ascii="Garamond" w:hAnsi="Garamond" w:cs="Tahoma"/>
          <w:sz w:val="28"/>
          <w:szCs w:val="28"/>
          <w:lang w:eastAsia="en-US"/>
        </w:rPr>
        <w:t xml:space="preserve">o </w:t>
      </w:r>
      <w:r w:rsidR="0010659C">
        <w:rPr>
          <w:rFonts w:ascii="Garamond" w:hAnsi="Garamond" w:cs="Tahoma"/>
          <w:sz w:val="28"/>
          <w:szCs w:val="28"/>
          <w:lang w:eastAsia="en-US"/>
        </w:rPr>
        <w:t>75,6</w:t>
      </w:r>
      <w:r w:rsidRPr="00881CB0">
        <w:rPr>
          <w:rFonts w:ascii="Garamond" w:hAnsi="Garamond" w:cs="Tahoma"/>
          <w:sz w:val="28"/>
          <w:szCs w:val="28"/>
          <w:lang w:eastAsia="en-US"/>
        </w:rPr>
        <w:t>% skarg i wniosków więcej niż w 2015 r.</w:t>
      </w:r>
    </w:p>
    <w:p w:rsid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 xml:space="preserve">W części przypadków do nieterminowego załatwienia skarg przyczyniło </w:t>
      </w:r>
      <w:r w:rsidR="0010659C">
        <w:rPr>
          <w:rFonts w:ascii="Garamond" w:hAnsi="Garamond" w:cs="Tahoma"/>
          <w:sz w:val="28"/>
          <w:szCs w:val="28"/>
          <w:lang w:eastAsia="en-US"/>
        </w:rPr>
        <w:t xml:space="preserve">       </w:t>
      </w:r>
      <w:r w:rsidRPr="00881CB0">
        <w:rPr>
          <w:rFonts w:ascii="Garamond" w:hAnsi="Garamond" w:cs="Tahoma"/>
          <w:sz w:val="28"/>
          <w:szCs w:val="28"/>
          <w:lang w:eastAsia="en-US"/>
        </w:rPr>
        <w:t>się ich późne przekazywanie z innych komórek organizacyjnych Ministerstwa Sprawiedliwości, czy też potrzeba konsultacji z innymi wydziałami departamentu/biura. Zdarzały się wypadki powoływania się przez skarżących na swoje poprzednie pisma i skargi, co wywoływało potrzebę ich odszukania, często     w innych komórkach organizacyjnych Ministerstwa. W niektórych sprawach skargi wymagały sprecyzowania lub uzupełnienia, nadto skarżący często przed rozpoznaniem skargi dosyłali kolejne pisma lub dokumenty wymagające podjęcia dodatkowych czynności.</w:t>
      </w:r>
    </w:p>
    <w:p w:rsidR="00AA4429" w:rsidRPr="00881CB0" w:rsidRDefault="00AA4429" w:rsidP="00881CB0">
      <w:pPr>
        <w:spacing w:line="360" w:lineRule="auto"/>
        <w:ind w:firstLine="708"/>
        <w:jc w:val="both"/>
        <w:rPr>
          <w:rFonts w:ascii="Garamond" w:hAnsi="Garamond" w:cs="Tahoma"/>
          <w:sz w:val="28"/>
          <w:szCs w:val="28"/>
          <w:lang w:eastAsia="en-US"/>
        </w:rPr>
      </w:pP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Na długotrwałość rozpoznawania skarg wpływała również</w:t>
      </w:r>
      <w:r w:rsidR="00DF4AE8">
        <w:rPr>
          <w:rFonts w:ascii="Garamond" w:hAnsi="Garamond" w:cs="Tahoma"/>
          <w:sz w:val="28"/>
          <w:szCs w:val="28"/>
          <w:lang w:eastAsia="en-US"/>
        </w:rPr>
        <w:t xml:space="preserve"> wielowątkowość problematyki (bardzo</w:t>
      </w:r>
      <w:r w:rsidRPr="00881CB0">
        <w:rPr>
          <w:rFonts w:ascii="Garamond" w:hAnsi="Garamond" w:cs="Tahoma"/>
          <w:sz w:val="28"/>
          <w:szCs w:val="28"/>
          <w:lang w:eastAsia="en-US"/>
        </w:rPr>
        <w:t xml:space="preserve"> często skarżący podnosili kilka zarzutów odnoszących się </w:t>
      </w:r>
      <w:r w:rsidR="00DF4AE8">
        <w:rPr>
          <w:rFonts w:ascii="Garamond" w:hAnsi="Garamond" w:cs="Tahoma"/>
          <w:sz w:val="28"/>
          <w:szCs w:val="28"/>
          <w:lang w:eastAsia="en-US"/>
        </w:rPr>
        <w:t xml:space="preserve">     </w:t>
      </w:r>
      <w:r w:rsidRPr="00881CB0">
        <w:rPr>
          <w:rFonts w:ascii="Garamond" w:hAnsi="Garamond" w:cs="Tahoma"/>
          <w:sz w:val="28"/>
          <w:szCs w:val="28"/>
          <w:lang w:eastAsia="en-US"/>
        </w:rPr>
        <w:t>do działalności różnych podmiotów np. sądów, prokuratur, organów samorządu terytorialnego), obszerność korespondencji (zdarzały się skargi kilkunasto- bądź kilkudziesięciostronicowe), wielość załączników (niektórzy skarżący nadsyłali korespondencję w ważących kilka kilogramów paczkach), sporządzenie korespondencji w sposób utrudniający bądź uniemożliwiający odczytanie.</w:t>
      </w:r>
    </w:p>
    <w:p w:rsidR="00881CB0" w:rsidRPr="00881CB0" w:rsidRDefault="00881CB0" w:rsidP="00881CB0">
      <w:pPr>
        <w:spacing w:line="360" w:lineRule="auto"/>
        <w:ind w:firstLine="708"/>
        <w:jc w:val="both"/>
        <w:rPr>
          <w:rFonts w:cs="Tahoma"/>
          <w:lang w:eastAsia="en-US"/>
        </w:rPr>
      </w:pPr>
      <w:r w:rsidRPr="00881CB0">
        <w:rPr>
          <w:rFonts w:ascii="Garamond" w:hAnsi="Garamond" w:cs="Tahoma"/>
          <w:sz w:val="28"/>
          <w:szCs w:val="28"/>
          <w:lang w:eastAsia="en-US"/>
        </w:rPr>
        <w:t xml:space="preserve">Do wydłużenia czasu rozpatrywania skarg przyczyniało się także prowadzenie postępowania mającego na celu wyjaśnienie twierdzeń i okoliczności podnoszonych w pismach. W tym celu zwracano się do właściwych podmiotów         o zbadanie zarzutów w ramach posiadanych kompetencji i poinformowanie             o poczynionych ustaleniach, niezbędnych do zajęcia stanowiska w przedmiocie, którego dotyczyła skarga. </w:t>
      </w:r>
    </w:p>
    <w:p w:rsidR="00881CB0" w:rsidRPr="00666281" w:rsidRDefault="00881CB0" w:rsidP="00881CB0">
      <w:pPr>
        <w:spacing w:line="360" w:lineRule="auto"/>
        <w:ind w:firstLine="708"/>
        <w:jc w:val="both"/>
        <w:rPr>
          <w:rFonts w:ascii="Garamond" w:hAnsi="Garamond" w:cs="Tahoma"/>
          <w:sz w:val="16"/>
          <w:szCs w:val="16"/>
          <w:lang w:eastAsia="en-US"/>
        </w:rPr>
      </w:pPr>
    </w:p>
    <w:p w:rsidR="00881CB0" w:rsidRPr="00881CB0" w:rsidRDefault="00881CB0" w:rsidP="00881CB0">
      <w:pPr>
        <w:spacing w:before="120" w:line="360" w:lineRule="auto"/>
        <w:ind w:left="357"/>
        <w:jc w:val="center"/>
        <w:rPr>
          <w:rFonts w:ascii="Garamond" w:hAnsi="Garamond" w:cs="Tahoma"/>
          <w:b/>
          <w:sz w:val="28"/>
          <w:szCs w:val="28"/>
          <w:lang w:eastAsia="pl-PL"/>
        </w:rPr>
      </w:pPr>
      <w:r w:rsidRPr="00881CB0">
        <w:rPr>
          <w:rFonts w:ascii="Garamond" w:hAnsi="Garamond" w:cs="Tahoma"/>
          <w:b/>
          <w:sz w:val="28"/>
          <w:szCs w:val="28"/>
          <w:lang w:eastAsia="pl-PL"/>
        </w:rPr>
        <w:t>5. Charakterystyka ilościowa i tematyczna przyjęć interesantów</w:t>
      </w:r>
    </w:p>
    <w:p w:rsidR="00881CB0" w:rsidRPr="00881CB0" w:rsidRDefault="00881CB0" w:rsidP="00881CB0">
      <w:pPr>
        <w:spacing w:line="360" w:lineRule="auto"/>
        <w:ind w:left="360"/>
        <w:jc w:val="center"/>
        <w:rPr>
          <w:rFonts w:ascii="Garamond" w:hAnsi="Garamond" w:cs="Tahoma"/>
          <w:b/>
          <w:sz w:val="28"/>
          <w:szCs w:val="28"/>
          <w:lang w:eastAsia="pl-PL"/>
        </w:rPr>
      </w:pPr>
      <w:r w:rsidRPr="00881CB0">
        <w:rPr>
          <w:rFonts w:ascii="Garamond" w:hAnsi="Garamond" w:cs="Tahoma"/>
          <w:b/>
          <w:sz w:val="28"/>
          <w:szCs w:val="28"/>
          <w:lang w:eastAsia="pl-PL"/>
        </w:rPr>
        <w:t>w sprawach skarg i wniosków</w:t>
      </w:r>
    </w:p>
    <w:p w:rsidR="00881CB0" w:rsidRPr="00666281" w:rsidRDefault="00881CB0" w:rsidP="00881CB0">
      <w:pPr>
        <w:spacing w:line="360" w:lineRule="auto"/>
        <w:ind w:left="360"/>
        <w:jc w:val="center"/>
        <w:rPr>
          <w:rFonts w:ascii="Garamond" w:hAnsi="Garamond" w:cs="Tahoma"/>
          <w:b/>
          <w:sz w:val="20"/>
          <w:szCs w:val="20"/>
          <w:lang w:eastAsia="pl-PL"/>
        </w:rPr>
      </w:pP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Obowiązek przyjmowania interesantów w sprawach skarg i wniosków przez organy państwowe, organy samorządu terytorialnego i inne organy samorządowe oraz organy organizacji społecznych wynika z art. 253 § 1 kpa.</w:t>
      </w: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Przepisy Kodeksu postępowania administracyjnego nie określają częstotliwości takich przyjęć, wskazując jedynie, że przyjęcia odbywają się                  w ustalonych przez organ dniach i godzinach, dostosowanych do potrzeb ludności, przy czym przynajmniej raz w tygodniu przyjęcia powinny odbywać się                    w ustalonym dniu po godzinach pracy (art. 253 § 3 kpa).</w:t>
      </w: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 xml:space="preserve">Informacja o dniach i godzinach przyjęć interesantów powinna być wywieszona na widocznym miejscu w siedzibie danej jednostki organizacyjnej </w:t>
      </w:r>
      <w:r w:rsidR="000C5C45">
        <w:rPr>
          <w:rFonts w:ascii="Garamond" w:hAnsi="Garamond" w:cs="Tahoma"/>
          <w:sz w:val="28"/>
          <w:szCs w:val="28"/>
          <w:lang w:eastAsia="en-US"/>
        </w:rPr>
        <w:t xml:space="preserve">  </w:t>
      </w:r>
      <w:r w:rsidRPr="00881CB0">
        <w:rPr>
          <w:rFonts w:ascii="Garamond" w:hAnsi="Garamond" w:cs="Tahoma"/>
          <w:sz w:val="28"/>
          <w:szCs w:val="28"/>
          <w:lang w:eastAsia="en-US"/>
        </w:rPr>
        <w:t>oraz w podporządkowanych jej jednostkach organizacyjnych (art. 253 § 4 kpa).</w:t>
      </w:r>
    </w:p>
    <w:p w:rsidR="0010659C" w:rsidRPr="00881CB0" w:rsidRDefault="00881CB0" w:rsidP="00666281">
      <w:pPr>
        <w:spacing w:line="336" w:lineRule="auto"/>
        <w:ind w:firstLine="708"/>
        <w:jc w:val="both"/>
        <w:rPr>
          <w:rFonts w:ascii="Garamond" w:hAnsi="Garamond" w:cs="Tahoma"/>
          <w:sz w:val="28"/>
          <w:szCs w:val="28"/>
          <w:lang w:eastAsia="en-US"/>
        </w:rPr>
      </w:pPr>
      <w:r w:rsidRPr="00881CB0">
        <w:rPr>
          <w:rFonts w:ascii="Garamond" w:hAnsi="Garamond" w:cs="Tahoma"/>
          <w:sz w:val="28"/>
          <w:szCs w:val="28"/>
          <w:lang w:eastAsia="en-US"/>
        </w:rPr>
        <w:t xml:space="preserve">W Ministerstwie Sprawiedliwości interesanci byli przyjmowani codziennie (od ok. 2005 r. są to zarówno przyjęcia osobiste, jak i wysłuchania telefoniczne, realizowane w odrębnym pokoju) </w:t>
      </w:r>
      <w:r w:rsidR="000C5C45">
        <w:rPr>
          <w:rFonts w:ascii="Garamond" w:hAnsi="Garamond" w:cs="Tahoma"/>
          <w:sz w:val="28"/>
          <w:szCs w:val="28"/>
          <w:lang w:eastAsia="en-US"/>
        </w:rPr>
        <w:t>w godzinach: poniedziałek 10.00–</w:t>
      </w:r>
      <w:r w:rsidRPr="00881CB0">
        <w:rPr>
          <w:rFonts w:ascii="Garamond" w:hAnsi="Garamond" w:cs="Tahoma"/>
          <w:sz w:val="28"/>
          <w:szCs w:val="28"/>
          <w:lang w:eastAsia="en-US"/>
        </w:rPr>
        <w:t xml:space="preserve">17.00, </w:t>
      </w:r>
      <w:r w:rsidR="000C5C45">
        <w:rPr>
          <w:rFonts w:ascii="Garamond" w:hAnsi="Garamond" w:cs="Tahoma"/>
          <w:sz w:val="28"/>
          <w:szCs w:val="28"/>
          <w:lang w:eastAsia="en-US"/>
        </w:rPr>
        <w:t xml:space="preserve">      </w:t>
      </w:r>
      <w:r w:rsidRPr="00881CB0">
        <w:rPr>
          <w:rFonts w:ascii="Garamond" w:hAnsi="Garamond" w:cs="Tahoma"/>
          <w:sz w:val="28"/>
          <w:szCs w:val="28"/>
          <w:lang w:eastAsia="en-US"/>
        </w:rPr>
        <w:lastRenderedPageBreak/>
        <w:t>wtorek – piątek w godzinach 10.00</w:t>
      </w:r>
      <w:r w:rsidR="000C5C45">
        <w:rPr>
          <w:rFonts w:ascii="Garamond" w:hAnsi="Garamond" w:cs="Tahoma"/>
          <w:sz w:val="28"/>
          <w:szCs w:val="28"/>
          <w:lang w:eastAsia="en-US"/>
        </w:rPr>
        <w:t>–</w:t>
      </w:r>
      <w:r w:rsidRPr="00881CB0">
        <w:rPr>
          <w:rFonts w:ascii="Garamond" w:hAnsi="Garamond" w:cs="Tahoma"/>
          <w:sz w:val="28"/>
          <w:szCs w:val="28"/>
          <w:lang w:eastAsia="en-US"/>
        </w:rPr>
        <w:t xml:space="preserve">14.00, natomiast dyżury telefoniczne </w:t>
      </w:r>
      <w:r w:rsidR="000C5C45">
        <w:rPr>
          <w:rFonts w:ascii="Garamond" w:hAnsi="Garamond" w:cs="Tahoma"/>
          <w:sz w:val="28"/>
          <w:szCs w:val="28"/>
          <w:lang w:eastAsia="en-US"/>
        </w:rPr>
        <w:t xml:space="preserve">   </w:t>
      </w:r>
      <w:r w:rsidRPr="00881CB0">
        <w:rPr>
          <w:rFonts w:ascii="Garamond" w:hAnsi="Garamond" w:cs="Tahoma"/>
          <w:sz w:val="28"/>
          <w:szCs w:val="28"/>
          <w:lang w:eastAsia="en-US"/>
        </w:rPr>
        <w:t>odbywały s</w:t>
      </w:r>
      <w:r w:rsidR="000C5C45">
        <w:rPr>
          <w:rFonts w:ascii="Garamond" w:hAnsi="Garamond" w:cs="Tahoma"/>
          <w:sz w:val="28"/>
          <w:szCs w:val="28"/>
          <w:lang w:eastAsia="en-US"/>
        </w:rPr>
        <w:t>ię codziennie w godzinach 10.00–</w:t>
      </w:r>
      <w:r w:rsidRPr="00881CB0">
        <w:rPr>
          <w:rFonts w:ascii="Garamond" w:hAnsi="Garamond" w:cs="Tahoma"/>
          <w:sz w:val="28"/>
          <w:szCs w:val="28"/>
          <w:lang w:eastAsia="en-US"/>
        </w:rPr>
        <w:t xml:space="preserve">14.00. Interesantów przyjmowali pracownicy merytoryczni Wydziału Skarg i Wniosków, wspomagani przez </w:t>
      </w:r>
      <w:r w:rsidR="000C5C45">
        <w:rPr>
          <w:rFonts w:ascii="Garamond" w:hAnsi="Garamond" w:cs="Tahoma"/>
          <w:sz w:val="28"/>
          <w:szCs w:val="28"/>
          <w:lang w:eastAsia="en-US"/>
        </w:rPr>
        <w:t xml:space="preserve">              </w:t>
      </w:r>
      <w:r w:rsidRPr="00881CB0">
        <w:rPr>
          <w:rFonts w:ascii="Garamond" w:hAnsi="Garamond" w:cs="Tahoma"/>
          <w:sz w:val="28"/>
          <w:szCs w:val="28"/>
          <w:lang w:eastAsia="en-US"/>
        </w:rPr>
        <w:t>2 sędziów w stanie spoczynku.</w:t>
      </w:r>
    </w:p>
    <w:p w:rsidR="00E210E8" w:rsidRDefault="00881CB0" w:rsidP="00666281">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 xml:space="preserve">W 2016 r. w Wydziale Skarg i Wniosków przyjęto oraz wysłuchano </w:t>
      </w:r>
      <w:r w:rsidR="000C5C45">
        <w:rPr>
          <w:rFonts w:ascii="Garamond" w:hAnsi="Garamond" w:cs="Tahoma"/>
          <w:sz w:val="28"/>
          <w:szCs w:val="28"/>
          <w:lang w:eastAsia="en-US"/>
        </w:rPr>
        <w:t xml:space="preserve">     łącznie </w:t>
      </w:r>
      <w:r w:rsidRPr="00881CB0">
        <w:rPr>
          <w:rFonts w:ascii="Garamond" w:hAnsi="Garamond" w:cs="Tahoma"/>
          <w:sz w:val="28"/>
          <w:szCs w:val="28"/>
          <w:lang w:eastAsia="en-US"/>
        </w:rPr>
        <w:t>5415 osób, w 2</w:t>
      </w:r>
      <w:r w:rsidR="000C5C45">
        <w:rPr>
          <w:rFonts w:ascii="Garamond" w:hAnsi="Garamond" w:cs="Tahoma"/>
          <w:sz w:val="28"/>
          <w:szCs w:val="28"/>
          <w:lang w:eastAsia="en-US"/>
        </w:rPr>
        <w:t>015 r. - 3.200 osób, w 2014 r. -</w:t>
      </w:r>
      <w:r w:rsidRPr="00881CB0">
        <w:rPr>
          <w:rFonts w:ascii="Garamond" w:hAnsi="Garamond" w:cs="Tahoma"/>
          <w:sz w:val="28"/>
          <w:szCs w:val="28"/>
          <w:lang w:eastAsia="en-US"/>
        </w:rPr>
        <w:t xml:space="preserve"> 3.038 osó</w:t>
      </w:r>
      <w:r w:rsidR="000C5C45">
        <w:rPr>
          <w:rFonts w:ascii="Garamond" w:hAnsi="Garamond" w:cs="Tahoma"/>
          <w:sz w:val="28"/>
          <w:szCs w:val="28"/>
          <w:lang w:eastAsia="en-US"/>
        </w:rPr>
        <w:t>b, w 2013 r. -</w:t>
      </w:r>
      <w:r w:rsidRPr="00881CB0">
        <w:rPr>
          <w:rFonts w:ascii="Garamond" w:hAnsi="Garamond" w:cs="Tahoma"/>
          <w:sz w:val="28"/>
          <w:szCs w:val="28"/>
          <w:lang w:eastAsia="en-US"/>
        </w:rPr>
        <w:t xml:space="preserve"> 3.684 osoby, w 2012 r. - 5.437 osób, w 2011 r. – 4.474 osoby.</w:t>
      </w:r>
    </w:p>
    <w:p w:rsidR="00666281" w:rsidRPr="002D073C" w:rsidRDefault="00666281" w:rsidP="00666281">
      <w:pPr>
        <w:spacing w:line="360" w:lineRule="auto"/>
        <w:ind w:firstLine="708"/>
        <w:jc w:val="both"/>
        <w:rPr>
          <w:rFonts w:ascii="Garamond" w:hAnsi="Garamond" w:cs="Tahoma"/>
          <w:sz w:val="16"/>
          <w:szCs w:val="16"/>
          <w:lang w:eastAsia="en-US"/>
        </w:rPr>
      </w:pPr>
    </w:p>
    <w:p w:rsidR="00881CB0" w:rsidRDefault="00881CB0" w:rsidP="002D073C">
      <w:pPr>
        <w:spacing w:line="336" w:lineRule="auto"/>
        <w:jc w:val="both"/>
      </w:pPr>
      <w:r w:rsidRPr="00881CB0">
        <w:rPr>
          <w:noProof/>
          <w:color w:val="C00000"/>
          <w:lang w:eastAsia="pl-PL" w:bidi="ar-SA"/>
        </w:rPr>
        <w:drawing>
          <wp:inline distT="0" distB="0" distL="0" distR="0" wp14:anchorId="1D50FF7E" wp14:editId="47663C12">
            <wp:extent cx="5771519" cy="3238503"/>
            <wp:effectExtent l="0" t="0" r="19685" b="19050"/>
            <wp:docPr id="6"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D073C" w:rsidRPr="002D073C" w:rsidRDefault="002D073C" w:rsidP="002D073C">
      <w:pPr>
        <w:spacing w:line="336" w:lineRule="auto"/>
        <w:jc w:val="both"/>
      </w:pP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W porównaniu do lat: 2013-2015 nastąpił wyraźny wzrost ilości osób zgłaszających się osobiście bądź telefonujących do Ministerstwa Sprawiedliwości      w ramach skarg i wniosków. Zaistniały stan rzeczy to niewątpliwie wynik zmiany    na stanowisku Ministra Sprawiedliwości, połączenia funkcji Ministra Sprawiedliwości i Prokuratora Generalnego oraz wyraz dużego społecznego zaufania i poparcia dla  Ministra Sprawiedliwości i działań podejmowanych lub inicjowanych przez niego.</w:t>
      </w: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 xml:space="preserve">Zdecydowana większość interesantów wybierała kontakt telefoniczny. Dla interesanta był to mniejszy wydatek w porównaniu z kosztami przyjazdu                do Ministerstwa, pozwalał na większą anonimowość i brak odpowiedzialności          za zachowanie i słowa (niejednokrotnie rozmówcy byli bardzo niegrzeczni, wulgarni, agresywni, reprezentowali postawę wybitnie roszczeniową). Zwraca </w:t>
      </w:r>
      <w:r w:rsidRPr="00881CB0">
        <w:rPr>
          <w:rFonts w:ascii="Garamond" w:hAnsi="Garamond" w:cs="Tahoma"/>
          <w:sz w:val="28"/>
          <w:szCs w:val="28"/>
          <w:lang w:eastAsia="en-US"/>
        </w:rPr>
        <w:lastRenderedPageBreak/>
        <w:t>uwagę coraz większa agresja słowna osób telefonujących do Ministerstwa Sprawiedliwości w ramach skarg i wniosków. Często rozmówcy nie byli w stanie,       w sposób racjonalny, wskazać przyczyny kontaktu telefonicznego z Ministerstwem Sprawiedliwości i sprawiali wrażenie, jakby ich jedynym celem było wyładowanie frustracji na pracowniku Ministerstwa wysłuchującym telefonicznie interesantów.</w:t>
      </w: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Czas poświęcany jednemu interesantowi był różny. Niekiedy były to krótkie kilkuminutowe rozmowy (zwłaszcza telefoniczne)</w:t>
      </w:r>
      <w:r w:rsidR="00DF4AE8">
        <w:rPr>
          <w:rFonts w:ascii="Garamond" w:hAnsi="Garamond" w:cs="Tahoma"/>
          <w:sz w:val="28"/>
          <w:szCs w:val="28"/>
          <w:lang w:eastAsia="en-US"/>
        </w:rPr>
        <w:t>, czasami zaś długie kilkunasto</w:t>
      </w:r>
      <w:r w:rsidRPr="00881CB0">
        <w:rPr>
          <w:rFonts w:ascii="Garamond" w:hAnsi="Garamond" w:cs="Tahoma"/>
          <w:sz w:val="28"/>
          <w:szCs w:val="28"/>
          <w:lang w:eastAsia="en-US"/>
        </w:rPr>
        <w:t>- bądź nawet kilkudziesięciominutowe (wszystko zależało od cech osobowościowych rozmówcy, stopnia skomplikowania zgłaszanego problemu). Zdarzali się interesanci telefonujący nawet po kilka razy dziennie i to w krótkich odstępach czasu.</w:t>
      </w: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Tematyka poruszana podczas rozmów była przebogata i tylko w niewielkim stopniu dotyczyła kwestii pozostających w zakresie kompetencji Ministra Sprawiedliwości. Skarżący podnosili zarówno zarzuty w sprawach sądowych, prokuratorskich, jak i w sprawach nieleżących w zakresie kompetencji nawet szeroko pojętego wymiaru sprawiedliwości. Kwestionowali treść prawomocnych         i nieprawomocnych orzeczeń sądowych (zarówno sądów powszechnych, Sądu Najwyższego, jak i sądów administracyjnych), decyzji prokuratorskich, decyzji administracyjnych wydawanych m.in. przez organy samorządu terytorialnego, opinie biegłych, domagali się zajęcia merytorycznego stanowiska w konkretnej sprawie w oparciu o przedstawioną przez siebie dokumentację (często wybiórczą), podnosili zarzuty stronniczości i korupcji sędziów, domagali się także udzielenia porady prawnej bądź wskazówek co do dalszych czynności lub dokonania oceny działań ich pełnomocników procesowych, jak i wnosili o udzielenie pomocy             w rozwiązaniu najróżniejszych problemów życiowych.</w:t>
      </w:r>
    </w:p>
    <w:p w:rsidR="00AA4429" w:rsidRPr="002D073C" w:rsidRDefault="00881CB0" w:rsidP="002D073C">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Wielu skarżących bardzo krytycznie odnosiło się do funkcjonującego            od 2012 r. modelu załatwiania skarg na działalność sądów powszechnych oraz zasad sprawowania przez Ministra Sprawiedliwości nadzoru zewnętrznego nad działalnością administracyjną sądów powszechnych.</w:t>
      </w: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 xml:space="preserve">Nadto interesanci, powołując się na fakt połączenia funkcji Ministra Sprawiedliwości i Prokuratora Generalnego, często poruszali kwestie dotyczące działalności jednostek organizacyjnych prokuratury domagając się od </w:t>
      </w:r>
      <w:r w:rsidRPr="00881CB0">
        <w:rPr>
          <w:rFonts w:ascii="Garamond" w:hAnsi="Garamond" w:cs="Tahoma"/>
          <w:sz w:val="28"/>
          <w:szCs w:val="28"/>
          <w:lang w:eastAsia="en-US"/>
        </w:rPr>
        <w:lastRenderedPageBreak/>
        <w:t>przyjmującego ich/wysłuchującego pracownika Wydziału Skarg i Wniosków zajęcia merytorycznego stanowiska.</w:t>
      </w: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Należy podnieść, iż – podobnie jak w latach ubiegłych - wielu skarżących traktowało Ministra Sprawiedliwości jako podmiot uosabiający tzw. „sprawiedliwość społeczną” i postulowało podjęcie działań we wszystkich sprawach, w których uznawali się za skrzywdzonych.</w:t>
      </w:r>
    </w:p>
    <w:p w:rsidR="00881CB0" w:rsidRPr="00881CB0" w:rsidRDefault="00881CB0" w:rsidP="00881CB0">
      <w:pPr>
        <w:spacing w:line="360" w:lineRule="auto"/>
        <w:ind w:firstLine="708"/>
        <w:jc w:val="both"/>
        <w:rPr>
          <w:rFonts w:cs="Tahoma"/>
          <w:lang w:eastAsia="en-US"/>
        </w:rPr>
      </w:pPr>
      <w:r w:rsidRPr="00881CB0">
        <w:rPr>
          <w:rFonts w:ascii="Garamond" w:hAnsi="Garamond" w:cs="Tahoma"/>
          <w:sz w:val="28"/>
          <w:szCs w:val="28"/>
          <w:lang w:eastAsia="en-US"/>
        </w:rPr>
        <w:t xml:space="preserve">Skarżącym udzielano stosownych wskazówek i pouczeń m.in. odnośnie obowiązujących regulacji prawnych, zwłaszcza nowelizacji ustawy </w:t>
      </w:r>
      <w:r w:rsidRPr="00881CB0">
        <w:rPr>
          <w:rFonts w:ascii="Garamond" w:hAnsi="Garamond" w:cs="Tahoma"/>
          <w:i/>
          <w:sz w:val="28"/>
          <w:szCs w:val="28"/>
          <w:lang w:eastAsia="en-US"/>
        </w:rPr>
        <w:t>Prawo o ustroju sądów powszechnych</w:t>
      </w:r>
      <w:r w:rsidRPr="00881CB0">
        <w:rPr>
          <w:rFonts w:ascii="Garamond" w:hAnsi="Garamond" w:cs="Tahoma"/>
          <w:sz w:val="28"/>
          <w:szCs w:val="28"/>
          <w:lang w:eastAsia="en-US"/>
        </w:rPr>
        <w:t>, wyjaśniano zakres uprawnień Ministra Sprawiedliwości                  i Prokuratora Generalnego, wskazywano organy właściwe do merytorycznego rozpatrzenia skargi, co często spotykało się z całkowitym niezrozumieniem              ze strony skarżących i skutkowało kierowaniem pod adresem pracowników Ministerstwa inwektyw, oskarżeń o działanie niezgodne z prawem, lekceważenie zgłaszanych problemów, „bezduszność urzędniczą”.</w:t>
      </w: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 xml:space="preserve">Do Ministerstwa zgłaszały się również osoby niezrównoważone, agresywne, które nie przyjmowały do wiadomości żadnych przekazywanych im argumentów </w:t>
      </w:r>
      <w:r w:rsidRPr="00881CB0">
        <w:rPr>
          <w:rFonts w:ascii="Garamond" w:hAnsi="Garamond" w:cs="Tahoma"/>
          <w:sz w:val="28"/>
          <w:szCs w:val="28"/>
          <w:lang w:eastAsia="en-US"/>
        </w:rPr>
        <w:br/>
        <w:t>i domagały się podjęcia interwencji na ich rzecz.</w:t>
      </w: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 xml:space="preserve">Ewidencja przyjęć interesantów i rozmów telefonicznych prowadzona była </w:t>
      </w:r>
      <w:r w:rsidRPr="00881CB0">
        <w:rPr>
          <w:rFonts w:ascii="Garamond" w:hAnsi="Garamond" w:cs="Tahoma"/>
          <w:sz w:val="28"/>
          <w:szCs w:val="28"/>
          <w:lang w:eastAsia="en-US"/>
        </w:rPr>
        <w:br/>
        <w:t>w odrębnych repertoriach.</w:t>
      </w:r>
    </w:p>
    <w:p w:rsidR="00881CB0" w:rsidRPr="00881CB0" w:rsidRDefault="00881CB0" w:rsidP="00881CB0">
      <w:pPr>
        <w:spacing w:line="360" w:lineRule="auto"/>
        <w:ind w:firstLine="708"/>
        <w:jc w:val="both"/>
        <w:rPr>
          <w:rFonts w:ascii="Garamond" w:hAnsi="Garamond" w:cs="Tahoma"/>
          <w:sz w:val="28"/>
          <w:szCs w:val="28"/>
          <w:lang w:eastAsia="en-US"/>
        </w:rPr>
      </w:pPr>
      <w:r w:rsidRPr="00881CB0">
        <w:rPr>
          <w:rFonts w:ascii="Garamond" w:hAnsi="Garamond" w:cs="Tahoma"/>
          <w:sz w:val="28"/>
          <w:szCs w:val="28"/>
          <w:lang w:eastAsia="en-US"/>
        </w:rPr>
        <w:t xml:space="preserve">Skarżący byli przyjmowani w Ministerstwie w warunkach uwzględniających </w:t>
      </w:r>
      <w:r w:rsidRPr="00881CB0">
        <w:rPr>
          <w:rFonts w:ascii="Garamond" w:hAnsi="Garamond" w:cs="Tahoma"/>
          <w:sz w:val="28"/>
          <w:szCs w:val="28"/>
          <w:lang w:eastAsia="en-US"/>
        </w:rPr>
        <w:br/>
        <w:t>w szczególności potrzeby osób w podeszłym wieku i niepełnosprawnych, które mogły korzystać z windy i specjalnego węzła sanitarnego.</w:t>
      </w:r>
    </w:p>
    <w:p w:rsidR="00881CB0" w:rsidRPr="00881CB0" w:rsidRDefault="00881CB0" w:rsidP="00881CB0">
      <w:pPr>
        <w:spacing w:line="360" w:lineRule="auto"/>
        <w:jc w:val="both"/>
        <w:rPr>
          <w:rFonts w:ascii="Garamond" w:hAnsi="Garamond" w:cs="Tahoma"/>
          <w:sz w:val="28"/>
          <w:szCs w:val="28"/>
          <w:lang w:eastAsia="en-US"/>
        </w:rPr>
      </w:pPr>
      <w:r w:rsidRPr="00881CB0">
        <w:rPr>
          <w:rFonts w:ascii="Garamond" w:hAnsi="Garamond" w:cs="Tahoma"/>
          <w:sz w:val="28"/>
          <w:szCs w:val="28"/>
          <w:lang w:eastAsia="en-US"/>
        </w:rPr>
        <w:tab/>
        <w:t>Dla bezpieczeństwa interesantów oraz przyjmujących ich pracowników pokój przyjęć interesantów wyposażony jest w kamerę, zaś przed wejściem do niego jest zamontowana bramka do wykrywania metalu.</w:t>
      </w:r>
    </w:p>
    <w:p w:rsidR="00881CB0" w:rsidRPr="00881CB0" w:rsidRDefault="00881CB0" w:rsidP="00881CB0">
      <w:pPr>
        <w:spacing w:line="360" w:lineRule="auto"/>
        <w:jc w:val="both"/>
        <w:rPr>
          <w:rFonts w:ascii="Garamond" w:hAnsi="Garamond" w:cs="Tahoma"/>
          <w:sz w:val="28"/>
          <w:szCs w:val="28"/>
          <w:lang w:eastAsia="en-US"/>
        </w:rPr>
      </w:pPr>
      <w:r w:rsidRPr="00881CB0">
        <w:rPr>
          <w:rFonts w:ascii="Garamond" w:hAnsi="Garamond" w:cs="Tahoma"/>
          <w:sz w:val="28"/>
          <w:szCs w:val="28"/>
          <w:lang w:eastAsia="en-US"/>
        </w:rPr>
        <w:tab/>
        <w:t>Ponadto na stronie internetowej Ministerstwa Sprawiedliwości pod adresem: http:/www.ms.gov.pl/, obok szeregu istotnych informacji dotyczących jego bieżącej działalności, funkcjonowania wymiaru sprawiedliwości, projektów aktów prawnych itp. zawarte są również niezbędne informacje na temat sposobów wnoszenia skarg    i wniosków do Ministerstwa oraz pouczenia dla osób pokrzywdzonych i ofiar przestępstw.</w:t>
      </w:r>
    </w:p>
    <w:p w:rsidR="00881CB0" w:rsidRPr="00881CB0" w:rsidRDefault="00881CB0" w:rsidP="00881CB0">
      <w:pPr>
        <w:keepNext/>
        <w:tabs>
          <w:tab w:val="left" w:pos="2836"/>
        </w:tabs>
        <w:ind w:left="1418"/>
        <w:outlineLvl w:val="0"/>
        <w:rPr>
          <w:rFonts w:ascii="Garamond" w:hAnsi="Garamond" w:cs="Arial"/>
          <w:b/>
          <w:sz w:val="32"/>
          <w:szCs w:val="32"/>
          <w:lang w:eastAsia="pl-PL"/>
        </w:rPr>
      </w:pPr>
      <w:bookmarkStart w:id="1" w:name="_Toc485388663"/>
      <w:r w:rsidRPr="00881CB0">
        <w:rPr>
          <w:rFonts w:ascii="Garamond" w:hAnsi="Garamond" w:cs="Arial"/>
          <w:b/>
          <w:sz w:val="32"/>
          <w:szCs w:val="32"/>
          <w:lang w:eastAsia="pl-PL"/>
        </w:rPr>
        <w:lastRenderedPageBreak/>
        <w:t>III.</w:t>
      </w:r>
      <w:r w:rsidR="00E456C1">
        <w:rPr>
          <w:rFonts w:ascii="Garamond" w:hAnsi="Garamond" w:cs="Arial"/>
          <w:b/>
          <w:sz w:val="32"/>
          <w:szCs w:val="32"/>
          <w:lang w:eastAsia="pl-PL"/>
        </w:rPr>
        <w:t xml:space="preserve"> </w:t>
      </w:r>
      <w:r w:rsidRPr="00881CB0">
        <w:rPr>
          <w:rFonts w:ascii="Garamond" w:hAnsi="Garamond" w:cs="Arial"/>
          <w:b/>
          <w:sz w:val="32"/>
          <w:szCs w:val="32"/>
          <w:lang w:eastAsia="pl-PL"/>
        </w:rPr>
        <w:t>Służba Więzienna</w:t>
      </w:r>
    </w:p>
    <w:p w:rsidR="00881CB0" w:rsidRPr="00881CB0" w:rsidRDefault="00881CB0" w:rsidP="00A74CC2">
      <w:pPr>
        <w:spacing w:after="120" w:line="276" w:lineRule="auto"/>
        <w:rPr>
          <w:rFonts w:cs="Tahoma"/>
          <w:lang w:eastAsia="pl-PL"/>
        </w:rPr>
      </w:pPr>
    </w:p>
    <w:bookmarkEnd w:id="1"/>
    <w:p w:rsidR="00881CB0" w:rsidRPr="00881CB0" w:rsidRDefault="00881CB0" w:rsidP="00EB0B12">
      <w:pPr>
        <w:spacing w:after="200" w:line="360" w:lineRule="auto"/>
        <w:jc w:val="both"/>
        <w:rPr>
          <w:rFonts w:ascii="Garamond" w:hAnsi="Garamond" w:cs="Arial"/>
          <w:b/>
          <w:sz w:val="28"/>
          <w:szCs w:val="28"/>
          <w:lang w:eastAsia="en-US"/>
        </w:rPr>
      </w:pPr>
      <w:r w:rsidRPr="00881CB0">
        <w:rPr>
          <w:rFonts w:ascii="Garamond" w:hAnsi="Garamond" w:cs="Arial"/>
          <w:b/>
          <w:sz w:val="28"/>
          <w:szCs w:val="28"/>
          <w:lang w:eastAsia="en-US"/>
        </w:rPr>
        <w:t>1.</w:t>
      </w:r>
      <w:r w:rsidR="00EB0B12">
        <w:rPr>
          <w:rFonts w:ascii="Garamond" w:hAnsi="Garamond" w:cs="Arial"/>
          <w:b/>
          <w:sz w:val="28"/>
          <w:szCs w:val="28"/>
          <w:lang w:eastAsia="en-US"/>
        </w:rPr>
        <w:t xml:space="preserve"> </w:t>
      </w:r>
      <w:r w:rsidRPr="00881CB0">
        <w:rPr>
          <w:rFonts w:ascii="Garamond" w:hAnsi="Garamond" w:cs="Arial"/>
          <w:b/>
          <w:sz w:val="28"/>
          <w:szCs w:val="28"/>
          <w:lang w:eastAsia="en-US"/>
        </w:rPr>
        <w:t xml:space="preserve"> Wstęp</w:t>
      </w:r>
    </w:p>
    <w:p w:rsidR="00881CB0" w:rsidRPr="00881CB0" w:rsidRDefault="00881CB0" w:rsidP="00881CB0">
      <w:pPr>
        <w:spacing w:line="360" w:lineRule="auto"/>
        <w:ind w:firstLine="708"/>
        <w:jc w:val="both"/>
        <w:rPr>
          <w:rFonts w:ascii="Garamond" w:hAnsi="Garamond" w:cs="Arial"/>
          <w:sz w:val="28"/>
          <w:szCs w:val="28"/>
          <w:lang w:eastAsia="en-US"/>
        </w:rPr>
      </w:pPr>
      <w:r w:rsidRPr="00881CB0">
        <w:rPr>
          <w:rFonts w:ascii="Garamond" w:hAnsi="Garamond" w:cs="Arial"/>
          <w:sz w:val="28"/>
          <w:szCs w:val="28"/>
          <w:lang w:eastAsia="en-US"/>
        </w:rPr>
        <w:t>Instytucja skarg i wniosków stanowi istotne źródło inf</w:t>
      </w:r>
      <w:r w:rsidR="00EF656A">
        <w:rPr>
          <w:rFonts w:ascii="Garamond" w:hAnsi="Garamond" w:cs="Arial"/>
          <w:sz w:val="28"/>
          <w:szCs w:val="28"/>
          <w:lang w:eastAsia="en-US"/>
        </w:rPr>
        <w:t xml:space="preserve">ormacji o stanie więziennictwa, o </w:t>
      </w:r>
      <w:r w:rsidRPr="00881CB0">
        <w:rPr>
          <w:rFonts w:ascii="Garamond" w:hAnsi="Garamond" w:cs="Arial"/>
          <w:sz w:val="28"/>
          <w:szCs w:val="28"/>
          <w:lang w:eastAsia="en-US"/>
        </w:rPr>
        <w:t xml:space="preserve">jego społecznym odbiorze, a przede wszystkim pozwala </w:t>
      </w:r>
      <w:r w:rsidR="00EF656A">
        <w:rPr>
          <w:rFonts w:ascii="Garamond" w:hAnsi="Garamond" w:cs="Arial"/>
          <w:sz w:val="28"/>
          <w:szCs w:val="28"/>
          <w:lang w:eastAsia="en-US"/>
        </w:rPr>
        <w:t xml:space="preserve">                    </w:t>
      </w:r>
      <w:r w:rsidRPr="00881CB0">
        <w:rPr>
          <w:rFonts w:ascii="Garamond" w:hAnsi="Garamond" w:cs="Arial"/>
          <w:sz w:val="28"/>
          <w:szCs w:val="28"/>
          <w:lang w:eastAsia="en-US"/>
        </w:rPr>
        <w:t>na wykrycie uchybień, sprzyja analizie funkcjonowania administracji jednostek penitencjarnych</w:t>
      </w:r>
      <w:r w:rsidR="00EF656A">
        <w:rPr>
          <w:rFonts w:ascii="Garamond" w:hAnsi="Garamond" w:cs="Arial"/>
          <w:sz w:val="28"/>
          <w:szCs w:val="28"/>
          <w:lang w:eastAsia="en-US"/>
        </w:rPr>
        <w:t xml:space="preserve"> </w:t>
      </w:r>
      <w:r w:rsidRPr="00881CB0">
        <w:rPr>
          <w:rFonts w:ascii="Garamond" w:hAnsi="Garamond" w:cs="Arial"/>
          <w:sz w:val="28"/>
          <w:szCs w:val="28"/>
          <w:lang w:eastAsia="en-US"/>
        </w:rPr>
        <w:t xml:space="preserve">i likwidacji stwierdzonych nieprawidłowości. Przez pryzmat ustaleń dokonanych w wyniku prowadzonych postępowań wyjaśniających zgłaszane </w:t>
      </w:r>
      <w:r w:rsidR="00EF656A">
        <w:rPr>
          <w:rFonts w:ascii="Garamond" w:hAnsi="Garamond" w:cs="Arial"/>
          <w:sz w:val="28"/>
          <w:szCs w:val="28"/>
          <w:lang w:eastAsia="en-US"/>
        </w:rPr>
        <w:br/>
      </w:r>
      <w:r w:rsidRPr="00881CB0">
        <w:rPr>
          <w:rFonts w:ascii="Garamond" w:hAnsi="Garamond" w:cs="Arial"/>
          <w:sz w:val="28"/>
          <w:szCs w:val="28"/>
          <w:lang w:eastAsia="en-US"/>
        </w:rPr>
        <w:t xml:space="preserve">w skargach zarzuty dokonuje się również oceny skuteczności funkcjonowania obowiązujących regulacji prawnych i stopnia ich akceptacji przez osoby osadzone </w:t>
      </w:r>
      <w:r w:rsidR="00EF656A">
        <w:rPr>
          <w:rFonts w:ascii="Garamond" w:hAnsi="Garamond" w:cs="Arial"/>
          <w:sz w:val="28"/>
          <w:szCs w:val="28"/>
          <w:lang w:eastAsia="en-US"/>
        </w:rPr>
        <w:br/>
      </w:r>
      <w:r w:rsidRPr="00881CB0">
        <w:rPr>
          <w:rFonts w:ascii="Garamond" w:hAnsi="Garamond" w:cs="Arial"/>
          <w:sz w:val="28"/>
          <w:szCs w:val="28"/>
          <w:lang w:eastAsia="en-US"/>
        </w:rPr>
        <w:t>w zakładach karnych i aresztach śledczych oraz potrzeby wprowadzenia ewentualnych zmian w celu poprawy ich funkcjonowania.</w:t>
      </w:r>
    </w:p>
    <w:p w:rsidR="00881CB0" w:rsidRPr="00881CB0" w:rsidRDefault="00881CB0" w:rsidP="00881CB0">
      <w:pPr>
        <w:spacing w:line="360" w:lineRule="auto"/>
        <w:ind w:firstLine="708"/>
        <w:jc w:val="both"/>
        <w:rPr>
          <w:rFonts w:cs="Tahoma"/>
          <w:lang w:eastAsia="en-US"/>
        </w:rPr>
      </w:pPr>
      <w:r w:rsidRPr="00881CB0">
        <w:rPr>
          <w:rFonts w:ascii="Garamond" w:hAnsi="Garamond" w:cs="Arial"/>
          <w:sz w:val="28"/>
          <w:szCs w:val="28"/>
          <w:lang w:eastAsia="en-US"/>
        </w:rPr>
        <w:t xml:space="preserve">Wszystkie zaprezentowane w </w:t>
      </w:r>
      <w:r w:rsidRPr="00881CB0">
        <w:rPr>
          <w:rFonts w:ascii="Garamond" w:hAnsi="Garamond" w:cs="Arial"/>
          <w:i/>
          <w:sz w:val="28"/>
          <w:szCs w:val="28"/>
          <w:lang w:eastAsia="en-US"/>
        </w:rPr>
        <w:t>Informacji</w:t>
      </w:r>
      <w:r w:rsidRPr="00881CB0">
        <w:rPr>
          <w:rFonts w:ascii="Garamond" w:hAnsi="Garamond" w:cs="Arial"/>
          <w:sz w:val="28"/>
          <w:szCs w:val="28"/>
          <w:lang w:eastAsia="en-US"/>
        </w:rPr>
        <w:t xml:space="preserve"> dane opracowano na podstawie danych zgromadzonych w okresie sprawozdawczym w Biurze Spraw Wewnętrznych Centralnego Zarządu Służby Więziennej oraz zawartych w opracowaniach analitycznych i sprawozdaniach statystycznych za 2016 r., nadesłanych do CZSW przez dyrektorów okręgowych Służby Więziennej.</w:t>
      </w:r>
    </w:p>
    <w:p w:rsidR="00881CB0" w:rsidRPr="00EB0B12" w:rsidRDefault="00881CB0" w:rsidP="00881CB0">
      <w:pPr>
        <w:spacing w:after="200" w:line="360" w:lineRule="auto"/>
        <w:ind w:firstLine="708"/>
        <w:jc w:val="both"/>
        <w:rPr>
          <w:rFonts w:ascii="Arial" w:hAnsi="Arial" w:cs="Arial"/>
          <w:sz w:val="16"/>
          <w:szCs w:val="16"/>
          <w:lang w:eastAsia="en-US"/>
        </w:rPr>
      </w:pPr>
    </w:p>
    <w:p w:rsidR="00881CB0" w:rsidRPr="00881CB0" w:rsidRDefault="00881CB0" w:rsidP="00881CB0">
      <w:pPr>
        <w:keepNext/>
        <w:tabs>
          <w:tab w:val="left" w:pos="2836"/>
        </w:tabs>
        <w:ind w:left="567" w:hanging="567"/>
        <w:jc w:val="both"/>
        <w:outlineLvl w:val="0"/>
        <w:rPr>
          <w:rFonts w:ascii="Garamond" w:hAnsi="Garamond" w:cs="Arial"/>
          <w:b/>
          <w:sz w:val="28"/>
          <w:szCs w:val="28"/>
          <w:lang w:eastAsia="pl-PL"/>
        </w:rPr>
      </w:pPr>
      <w:bookmarkStart w:id="2" w:name="_Toc485388664"/>
      <w:r w:rsidRPr="00881CB0">
        <w:rPr>
          <w:rFonts w:ascii="Garamond" w:hAnsi="Garamond" w:cs="Arial"/>
          <w:b/>
          <w:sz w:val="28"/>
          <w:szCs w:val="28"/>
          <w:lang w:eastAsia="pl-PL"/>
        </w:rPr>
        <w:t>2. Charakterystyka ilościowa skarg, próśb i wniosków</w:t>
      </w:r>
      <w:bookmarkEnd w:id="2"/>
    </w:p>
    <w:p w:rsidR="00881CB0" w:rsidRPr="00881CB0" w:rsidRDefault="00881CB0" w:rsidP="00881CB0">
      <w:pPr>
        <w:spacing w:after="200" w:line="276" w:lineRule="auto"/>
        <w:rPr>
          <w:rFonts w:cs="Tahoma"/>
          <w:lang w:eastAsia="en-US"/>
        </w:rPr>
      </w:pPr>
    </w:p>
    <w:p w:rsidR="00881CB0" w:rsidRPr="00881CB0" w:rsidRDefault="00881CB0" w:rsidP="00881CB0">
      <w:pPr>
        <w:spacing w:line="360" w:lineRule="auto"/>
        <w:ind w:firstLine="708"/>
        <w:jc w:val="both"/>
        <w:rPr>
          <w:rFonts w:cs="Tahoma"/>
          <w:lang w:eastAsia="en-US"/>
        </w:rPr>
      </w:pPr>
      <w:r w:rsidRPr="00881CB0">
        <w:rPr>
          <w:rFonts w:ascii="Garamond" w:hAnsi="Garamond" w:cs="Arial"/>
          <w:sz w:val="28"/>
          <w:szCs w:val="28"/>
          <w:lang w:eastAsia="en-US"/>
        </w:rPr>
        <w:t xml:space="preserve">W 2016 r. do organów Służby Więziennej wpłynęło 187.722 wniosków, </w:t>
      </w:r>
      <w:r w:rsidR="000C5C45">
        <w:rPr>
          <w:rFonts w:ascii="Garamond" w:hAnsi="Garamond" w:cs="Arial"/>
          <w:sz w:val="28"/>
          <w:szCs w:val="28"/>
          <w:lang w:eastAsia="en-US"/>
        </w:rPr>
        <w:t xml:space="preserve"> </w:t>
      </w:r>
      <w:r w:rsidRPr="00881CB0">
        <w:rPr>
          <w:rFonts w:ascii="Garamond" w:hAnsi="Garamond" w:cs="Arial"/>
          <w:sz w:val="28"/>
          <w:szCs w:val="28"/>
          <w:lang w:eastAsia="en-US"/>
        </w:rPr>
        <w:t>skarg i próśb, co stanowi ich wzrost o 11,52 % w porównaniu do uprzedniego okresu (168.329 spraw). Do załatwienia wraz ze sprawami z poprzedniego okresu sprawozdawczego pozostawało 190.453 spraw (w roku 2015 – 171.191). Sprawy, których wpływ zarejestrowano w ostatnich dniach roku 2016 r., bądź których załatwienie wymagało dłuższego okresu powodującego konieczność przedłużenia terminu na udzielenie skarżącemu odpowiedzi, pozostały do załatwienia na następny okres sprawozdawczy. Do rozpatrzenia w 2017 r. pozostało łącznie 2.929 skarg, próśb i wniosków.</w:t>
      </w:r>
    </w:p>
    <w:p w:rsidR="00881CB0" w:rsidRPr="00881CB0" w:rsidRDefault="00881CB0" w:rsidP="00881CB0">
      <w:pPr>
        <w:spacing w:line="360" w:lineRule="auto"/>
        <w:ind w:firstLine="708"/>
        <w:jc w:val="both"/>
        <w:rPr>
          <w:rFonts w:ascii="Garamond" w:hAnsi="Garamond" w:cs="Arial"/>
          <w:sz w:val="28"/>
          <w:szCs w:val="28"/>
          <w:lang w:eastAsia="en-US"/>
        </w:rPr>
      </w:pPr>
      <w:r w:rsidRPr="00881CB0">
        <w:rPr>
          <w:rFonts w:ascii="Garamond" w:hAnsi="Garamond" w:cs="Arial"/>
          <w:sz w:val="28"/>
          <w:szCs w:val="28"/>
          <w:lang w:eastAsia="en-US"/>
        </w:rPr>
        <w:t xml:space="preserve">8.860 osadzonych (w 2015 r. 9.510) sporządziło skargi zawierające zarzuty dotyczące działalności administracji jednostek organizacyjnych więziennictwa. </w:t>
      </w:r>
      <w:r w:rsidRPr="00881CB0">
        <w:rPr>
          <w:rFonts w:ascii="Garamond" w:hAnsi="Garamond" w:cs="Arial"/>
          <w:sz w:val="28"/>
          <w:szCs w:val="28"/>
          <w:lang w:eastAsia="en-US"/>
        </w:rPr>
        <w:lastRenderedPageBreak/>
        <w:t>Stanowi to 12,38% wszystkich osadzonych przebywających na dzień 31.12.2016 r. (71.528) w zakładach karnych i aresztach śledczych (13,04% w 2015 r.).</w:t>
      </w:r>
    </w:p>
    <w:p w:rsidR="00881CB0" w:rsidRPr="00881CB0" w:rsidRDefault="00881CB0" w:rsidP="00881CB0">
      <w:pPr>
        <w:spacing w:line="360" w:lineRule="auto"/>
        <w:ind w:firstLine="708"/>
        <w:jc w:val="both"/>
        <w:rPr>
          <w:rFonts w:ascii="Garamond" w:hAnsi="Garamond" w:cs="Arial"/>
          <w:sz w:val="28"/>
          <w:szCs w:val="28"/>
          <w:lang w:eastAsia="en-US"/>
        </w:rPr>
      </w:pPr>
      <w:r w:rsidRPr="00881CB0">
        <w:rPr>
          <w:rFonts w:ascii="Garamond" w:hAnsi="Garamond" w:cs="Arial"/>
          <w:sz w:val="28"/>
          <w:szCs w:val="28"/>
          <w:lang w:eastAsia="en-US"/>
        </w:rPr>
        <w:t>7.037 osadzonych z ogółu wszystkich osadzonych sporządzających skargi      (w 2015 r. – 7.536) skierowało je bezpośrednio do organów Służby Więziennej,        a 3.826 (w 2015 r. – 4.073) osadzonych było autorami skarg badanych w związku      z udzielaniem informacji i wyjaśnień do innych organów uprawnionych do załatwiania skarg. 2.250 osadzonych skierowało więc swe zarzuty zarówno do organów więziennictwa, jak i do organów pozawięziennych.</w:t>
      </w:r>
    </w:p>
    <w:p w:rsidR="00881CB0" w:rsidRPr="00881CB0" w:rsidRDefault="00881CB0" w:rsidP="00881CB0">
      <w:pPr>
        <w:spacing w:line="360" w:lineRule="auto"/>
        <w:ind w:firstLine="708"/>
        <w:jc w:val="both"/>
        <w:rPr>
          <w:rFonts w:ascii="Garamond" w:hAnsi="Garamond" w:cs="Arial"/>
          <w:sz w:val="28"/>
          <w:szCs w:val="28"/>
          <w:lang w:eastAsia="en-US"/>
        </w:rPr>
      </w:pPr>
      <w:r w:rsidRPr="00881CB0">
        <w:rPr>
          <w:rFonts w:ascii="Garamond" w:hAnsi="Garamond" w:cs="Arial"/>
          <w:sz w:val="28"/>
          <w:szCs w:val="28"/>
          <w:lang w:eastAsia="en-US"/>
        </w:rPr>
        <w:t>W 2016 r. w systemie Noe.NET zarejestrowano wpływ 39.254 skarg (37.641 w 2015 r., co wskazuje na wzrost ich ilości o 1,62%). Każda zaewidencjonowana skarga powoduje rozpoczęcie procedury skargowej, polegającej na ustaleniu właściwości do jej załatwienia, wyjaśnieniu zarzutów wraz ze zgromadzeniem dowodów związanych z ich treścią, udzieleniu skarżącemu lub przekazaniu uprawnionemu organowi wyjaśnień, na którego wezwanie kierownik jednostki organizacyjnej Służby Więziennej badał zarzuty. Skarga zarejestrowana w systemie otrzymuje identyfikujący ją znak sprawy, który pozostaje niezmienny w obszarze obiegu korespondencji pomiędzy jednostkami organizacyjnymi Służby Więziennej.</w:t>
      </w:r>
    </w:p>
    <w:p w:rsidR="00881CB0" w:rsidRPr="00881CB0" w:rsidRDefault="00881CB0" w:rsidP="00881CB0">
      <w:pPr>
        <w:spacing w:line="360" w:lineRule="auto"/>
        <w:ind w:firstLine="708"/>
        <w:jc w:val="both"/>
        <w:rPr>
          <w:rFonts w:ascii="Garamond" w:hAnsi="Garamond" w:cs="Arial"/>
          <w:sz w:val="28"/>
          <w:szCs w:val="28"/>
          <w:lang w:eastAsia="en-US"/>
        </w:rPr>
      </w:pPr>
      <w:r w:rsidRPr="00881CB0">
        <w:rPr>
          <w:rFonts w:ascii="Garamond" w:hAnsi="Garamond" w:cs="Arial"/>
          <w:sz w:val="28"/>
          <w:szCs w:val="28"/>
          <w:lang w:eastAsia="en-US"/>
        </w:rPr>
        <w:t>Jak ustalono, w sprawach związanych z 39.254 skargami osób pozbawionych wolności, organy Służby Więziennej przeprowadziły 62.362 postępowania wyjaśniające zasadność zarzutów. W porównaniu do poprzedniego okresu sprawozdawczego stanowi to spadek o 2,19 %.</w:t>
      </w:r>
    </w:p>
    <w:p w:rsidR="00881CB0" w:rsidRPr="00881CB0" w:rsidRDefault="00881CB0" w:rsidP="00EF656A">
      <w:pPr>
        <w:spacing w:line="360" w:lineRule="auto"/>
        <w:ind w:firstLine="708"/>
        <w:jc w:val="both"/>
        <w:rPr>
          <w:rFonts w:ascii="Garamond" w:hAnsi="Garamond" w:cs="Arial"/>
          <w:sz w:val="28"/>
          <w:szCs w:val="28"/>
          <w:lang w:eastAsia="en-US"/>
        </w:rPr>
      </w:pPr>
      <w:r w:rsidRPr="00881CB0">
        <w:rPr>
          <w:rFonts w:ascii="Garamond" w:hAnsi="Garamond" w:cs="Arial"/>
          <w:sz w:val="28"/>
          <w:szCs w:val="28"/>
          <w:lang w:eastAsia="en-US"/>
        </w:rPr>
        <w:t>Spośród ogółu skarg, rozpatrzonych i załatwionych w 2016 r. przez kierowników jednostek organizacyjnych Służby Więziennej, 377 uznano za zasadne (w tym 486 zarzutów). Za bezzasadne uznano 23.386 skarg (41.128 zarzutów).</w:t>
      </w:r>
    </w:p>
    <w:p w:rsidR="00881CB0" w:rsidRDefault="00881CB0" w:rsidP="00EF656A">
      <w:pPr>
        <w:spacing w:line="360" w:lineRule="auto"/>
        <w:ind w:firstLine="708"/>
        <w:jc w:val="both"/>
        <w:rPr>
          <w:rFonts w:ascii="Garamond" w:hAnsi="Garamond" w:cs="Arial"/>
          <w:sz w:val="28"/>
          <w:szCs w:val="28"/>
          <w:lang w:eastAsia="en-US"/>
        </w:rPr>
      </w:pPr>
      <w:r w:rsidRPr="00881CB0">
        <w:rPr>
          <w:rFonts w:ascii="Garamond" w:hAnsi="Garamond" w:cs="Arial"/>
          <w:sz w:val="28"/>
          <w:szCs w:val="28"/>
          <w:lang w:eastAsia="en-US"/>
        </w:rPr>
        <w:t xml:space="preserve">W 2016 r. ponownie odnotowano wzrost ilości złożonych do organów więziennych próśb – o 19,33% (w 2015 r. o 45,82%). Spośród 125.798 próśb, które wpłynęły w 2016 r. i które zostały do załatwienia z poprzedniego okresu sprawozdawczego, kierownicy jednostek organizacyjnych więziennictwa załatwili 125.145, co stanowi wzrost spraw załatwionych w danym roku sprawozdawczym </w:t>
      </w:r>
      <w:r w:rsidR="00EF656A">
        <w:rPr>
          <w:rFonts w:ascii="Garamond" w:hAnsi="Garamond" w:cs="Arial"/>
          <w:sz w:val="28"/>
          <w:szCs w:val="28"/>
          <w:lang w:eastAsia="en-US"/>
        </w:rPr>
        <w:t xml:space="preserve">                    </w:t>
      </w:r>
      <w:r w:rsidRPr="00881CB0">
        <w:rPr>
          <w:rFonts w:ascii="Garamond" w:hAnsi="Garamond" w:cs="Arial"/>
          <w:sz w:val="28"/>
          <w:szCs w:val="28"/>
          <w:lang w:eastAsia="en-US"/>
        </w:rPr>
        <w:t>o 19,53%.</w:t>
      </w:r>
    </w:p>
    <w:p w:rsidR="00EB0B12" w:rsidRPr="00881CB0" w:rsidRDefault="00EB0B12" w:rsidP="00EF656A">
      <w:pPr>
        <w:spacing w:line="360" w:lineRule="auto"/>
        <w:ind w:firstLine="708"/>
        <w:jc w:val="both"/>
        <w:rPr>
          <w:rFonts w:ascii="Garamond" w:hAnsi="Garamond" w:cs="Arial"/>
          <w:sz w:val="28"/>
          <w:szCs w:val="28"/>
          <w:lang w:eastAsia="en-US"/>
        </w:rPr>
      </w:pPr>
    </w:p>
    <w:p w:rsidR="00881CB0" w:rsidRPr="00881CB0" w:rsidRDefault="00881CB0" w:rsidP="00EF656A">
      <w:pPr>
        <w:spacing w:line="360" w:lineRule="auto"/>
        <w:ind w:firstLine="708"/>
        <w:jc w:val="both"/>
        <w:rPr>
          <w:rFonts w:ascii="Garamond" w:hAnsi="Garamond" w:cs="Arial"/>
          <w:sz w:val="28"/>
          <w:szCs w:val="28"/>
          <w:lang w:eastAsia="en-US"/>
        </w:rPr>
      </w:pPr>
      <w:r w:rsidRPr="00881CB0">
        <w:rPr>
          <w:rFonts w:ascii="Garamond" w:hAnsi="Garamond" w:cs="Arial"/>
          <w:sz w:val="28"/>
          <w:szCs w:val="28"/>
          <w:lang w:eastAsia="en-US"/>
        </w:rPr>
        <w:lastRenderedPageBreak/>
        <w:t>Pozytywnie załatwiono 75.266 próśb (w 2015 r. – 52.060), negatywnie załatwiono 24.002 prośby (w 2015 r. - 20.901), natomiast 13.131 razy załatwi</w:t>
      </w:r>
      <w:r w:rsidR="00DF4AE8">
        <w:rPr>
          <w:rFonts w:ascii="Garamond" w:hAnsi="Garamond" w:cs="Arial"/>
          <w:sz w:val="28"/>
          <w:szCs w:val="28"/>
          <w:lang w:eastAsia="en-US"/>
        </w:rPr>
        <w:t>ono prośby w inny sposób (w 2015</w:t>
      </w:r>
      <w:r w:rsidRPr="00881CB0">
        <w:rPr>
          <w:rFonts w:ascii="Garamond" w:hAnsi="Garamond" w:cs="Arial"/>
          <w:sz w:val="28"/>
          <w:szCs w:val="28"/>
          <w:lang w:eastAsia="en-US"/>
        </w:rPr>
        <w:t xml:space="preserve"> r. - 16.514).</w:t>
      </w:r>
    </w:p>
    <w:p w:rsidR="00881CB0" w:rsidRPr="00881CB0" w:rsidRDefault="00881CB0" w:rsidP="00EF656A">
      <w:pPr>
        <w:spacing w:line="360" w:lineRule="auto"/>
        <w:ind w:firstLine="708"/>
        <w:jc w:val="both"/>
        <w:rPr>
          <w:rFonts w:cs="Tahoma"/>
          <w:lang w:eastAsia="en-US"/>
        </w:rPr>
      </w:pPr>
      <w:r w:rsidRPr="00881CB0">
        <w:rPr>
          <w:rFonts w:ascii="Garamond" w:hAnsi="Garamond" w:cs="Arial"/>
          <w:sz w:val="28"/>
          <w:szCs w:val="28"/>
          <w:lang w:eastAsia="en-US"/>
        </w:rPr>
        <w:t>Do za</w:t>
      </w:r>
      <w:r w:rsidR="00DF4AE8">
        <w:rPr>
          <w:rFonts w:ascii="Garamond" w:hAnsi="Garamond" w:cs="Arial"/>
          <w:sz w:val="28"/>
          <w:szCs w:val="28"/>
          <w:lang w:eastAsia="en-US"/>
        </w:rPr>
        <w:t xml:space="preserve">łatwienia w 2017 r. pozostało – </w:t>
      </w:r>
      <w:r w:rsidRPr="00881CB0">
        <w:rPr>
          <w:rFonts w:ascii="Garamond" w:hAnsi="Garamond" w:cs="Arial"/>
          <w:sz w:val="28"/>
          <w:szCs w:val="28"/>
          <w:lang w:eastAsia="en-US"/>
        </w:rPr>
        <w:t xml:space="preserve">wg stanu na dzień 31 grudnia </w:t>
      </w:r>
      <w:r w:rsidR="00DF4AE8">
        <w:rPr>
          <w:rFonts w:ascii="Garamond" w:hAnsi="Garamond" w:cs="Arial"/>
          <w:sz w:val="28"/>
          <w:szCs w:val="28"/>
          <w:lang w:eastAsia="en-US"/>
        </w:rPr>
        <w:t xml:space="preserve">          </w:t>
      </w:r>
      <w:r w:rsidRPr="00881CB0">
        <w:rPr>
          <w:rFonts w:ascii="Garamond" w:hAnsi="Garamond" w:cs="Arial"/>
          <w:sz w:val="28"/>
          <w:szCs w:val="28"/>
          <w:lang w:eastAsia="en-US"/>
        </w:rPr>
        <w:t>2016 r.</w:t>
      </w:r>
      <w:r w:rsidR="00DF4AE8">
        <w:rPr>
          <w:rFonts w:ascii="Garamond" w:hAnsi="Garamond" w:cs="Arial"/>
          <w:sz w:val="28"/>
          <w:szCs w:val="28"/>
          <w:lang w:eastAsia="en-US"/>
        </w:rPr>
        <w:t xml:space="preserve"> </w:t>
      </w:r>
      <w:r w:rsidRPr="00881CB0">
        <w:rPr>
          <w:rFonts w:ascii="Garamond" w:hAnsi="Garamond" w:cs="Arial"/>
          <w:sz w:val="28"/>
          <w:szCs w:val="28"/>
          <w:lang w:eastAsia="en-US"/>
        </w:rPr>
        <w:t>– 653 prośby.</w:t>
      </w:r>
    </w:p>
    <w:p w:rsidR="00881CB0" w:rsidRPr="00881CB0" w:rsidRDefault="00DF4AE8" w:rsidP="00DF4AE8">
      <w:pPr>
        <w:spacing w:line="360" w:lineRule="auto"/>
        <w:jc w:val="both"/>
        <w:rPr>
          <w:rFonts w:ascii="Garamond" w:hAnsi="Garamond" w:cs="Arial"/>
          <w:sz w:val="28"/>
          <w:szCs w:val="28"/>
          <w:lang w:eastAsia="en-US"/>
        </w:rPr>
      </w:pPr>
      <w:r>
        <w:rPr>
          <w:rFonts w:ascii="Garamond" w:hAnsi="Garamond" w:cs="Arial"/>
          <w:sz w:val="28"/>
          <w:szCs w:val="28"/>
          <w:lang w:eastAsia="en-US"/>
        </w:rPr>
        <w:t xml:space="preserve">         </w:t>
      </w:r>
      <w:r w:rsidR="00881CB0" w:rsidRPr="00881CB0">
        <w:rPr>
          <w:rFonts w:ascii="Garamond" w:hAnsi="Garamond" w:cs="Arial"/>
          <w:sz w:val="28"/>
          <w:szCs w:val="28"/>
          <w:lang w:eastAsia="en-US"/>
        </w:rPr>
        <w:t xml:space="preserve">Treścią wniosku jest propozycja poprawy działania organu, do którego </w:t>
      </w:r>
      <w:r>
        <w:rPr>
          <w:rFonts w:ascii="Garamond" w:hAnsi="Garamond" w:cs="Arial"/>
          <w:sz w:val="28"/>
          <w:szCs w:val="28"/>
          <w:lang w:eastAsia="en-US"/>
        </w:rPr>
        <w:t xml:space="preserve">       </w:t>
      </w:r>
      <w:r w:rsidR="00881CB0" w:rsidRPr="00881CB0">
        <w:rPr>
          <w:rFonts w:ascii="Garamond" w:hAnsi="Garamond" w:cs="Arial"/>
          <w:sz w:val="28"/>
          <w:szCs w:val="28"/>
          <w:lang w:eastAsia="en-US"/>
        </w:rPr>
        <w:t xml:space="preserve">jest on skierowany. Może on zawierać propozycję poprawy jego struktury organizacyjnej, ochrony praworządności, usprawnienia pracy czy ochrony własności. Tego rodzaju pism do organów Służby Więziennej corocznie wpływa, </w:t>
      </w:r>
      <w:r w:rsidR="00B972E6">
        <w:rPr>
          <w:rFonts w:ascii="Garamond" w:hAnsi="Garamond" w:cs="Arial"/>
          <w:sz w:val="28"/>
          <w:szCs w:val="28"/>
          <w:lang w:eastAsia="en-US"/>
        </w:rPr>
        <w:t xml:space="preserve">   </w:t>
      </w:r>
      <w:r w:rsidR="00881CB0" w:rsidRPr="00881CB0">
        <w:rPr>
          <w:rFonts w:ascii="Garamond" w:hAnsi="Garamond" w:cs="Arial"/>
          <w:sz w:val="28"/>
          <w:szCs w:val="28"/>
          <w:lang w:eastAsia="en-US"/>
        </w:rPr>
        <w:t>w porównaniu do liczby składanych skarg i próśb, zniko</w:t>
      </w:r>
      <w:r w:rsidR="00B972E6">
        <w:rPr>
          <w:rFonts w:ascii="Garamond" w:hAnsi="Garamond" w:cs="Arial"/>
          <w:sz w:val="28"/>
          <w:szCs w:val="28"/>
          <w:lang w:eastAsia="en-US"/>
        </w:rPr>
        <w:t xml:space="preserve">ma liczba. </w:t>
      </w:r>
      <w:r w:rsidR="00881CB0" w:rsidRPr="00881CB0">
        <w:rPr>
          <w:rFonts w:ascii="Garamond" w:hAnsi="Garamond" w:cs="Arial"/>
          <w:sz w:val="28"/>
          <w:szCs w:val="28"/>
          <w:lang w:eastAsia="en-US"/>
        </w:rPr>
        <w:t>W omawianym okresie sprawozdawczym wpłynęło</w:t>
      </w:r>
      <w:r w:rsidR="00B972E6">
        <w:rPr>
          <w:rFonts w:ascii="Garamond" w:hAnsi="Garamond" w:cs="Arial"/>
          <w:sz w:val="28"/>
          <w:szCs w:val="28"/>
          <w:lang w:eastAsia="en-US"/>
        </w:rPr>
        <w:t xml:space="preserve"> 17 wniosków, podczas gdy </w:t>
      </w:r>
      <w:r w:rsidR="00881CB0" w:rsidRPr="00881CB0">
        <w:rPr>
          <w:rFonts w:ascii="Garamond" w:hAnsi="Garamond" w:cs="Arial"/>
          <w:sz w:val="28"/>
          <w:szCs w:val="28"/>
          <w:lang w:eastAsia="en-US"/>
        </w:rPr>
        <w:t xml:space="preserve">w roku 2015 r. odnotowano ich 6.  </w:t>
      </w:r>
    </w:p>
    <w:p w:rsidR="00881CB0" w:rsidRPr="00881CB0" w:rsidRDefault="00DF4AE8" w:rsidP="00DF4AE8">
      <w:pPr>
        <w:spacing w:line="360" w:lineRule="auto"/>
        <w:jc w:val="both"/>
        <w:rPr>
          <w:rFonts w:ascii="Garamond" w:hAnsi="Garamond" w:cs="Arial"/>
          <w:sz w:val="28"/>
          <w:szCs w:val="28"/>
          <w:lang w:eastAsia="en-US"/>
        </w:rPr>
      </w:pPr>
      <w:r>
        <w:rPr>
          <w:rFonts w:ascii="Garamond" w:hAnsi="Garamond" w:cs="Arial"/>
          <w:sz w:val="28"/>
          <w:szCs w:val="28"/>
          <w:lang w:eastAsia="en-US"/>
        </w:rPr>
        <w:t xml:space="preserve">         </w:t>
      </w:r>
      <w:r w:rsidR="00881CB0" w:rsidRPr="00881CB0">
        <w:rPr>
          <w:rFonts w:ascii="Garamond" w:hAnsi="Garamond" w:cs="Arial"/>
          <w:sz w:val="28"/>
          <w:szCs w:val="28"/>
          <w:lang w:eastAsia="en-US"/>
        </w:rPr>
        <w:t xml:space="preserve">Wszystkie wnioski, których wpływ zarejestrowano w omawianym okresie sprawozdawczym załatwiono do jego końca. 8 wniosków załatwiono przychylając się do nich, 2 wnioski załatwiono w sposób negatywny, a 6 w inny sposób. </w:t>
      </w:r>
      <w:r w:rsidR="00B972E6">
        <w:rPr>
          <w:rFonts w:ascii="Garamond" w:hAnsi="Garamond" w:cs="Arial"/>
          <w:sz w:val="28"/>
          <w:szCs w:val="28"/>
          <w:lang w:eastAsia="en-US"/>
        </w:rPr>
        <w:t xml:space="preserve">               </w:t>
      </w:r>
      <w:r w:rsidR="00881CB0" w:rsidRPr="00881CB0">
        <w:rPr>
          <w:rFonts w:ascii="Garamond" w:hAnsi="Garamond" w:cs="Arial"/>
          <w:sz w:val="28"/>
          <w:szCs w:val="28"/>
          <w:lang w:eastAsia="en-US"/>
        </w:rPr>
        <w:t>1 wniosek przesłano innemu organowi właściwemu do jego załatwienia.</w:t>
      </w:r>
    </w:p>
    <w:p w:rsidR="00881CB0" w:rsidRPr="00881CB0" w:rsidRDefault="00881CB0" w:rsidP="00881CB0">
      <w:pPr>
        <w:spacing w:after="200" w:line="276" w:lineRule="auto"/>
        <w:rPr>
          <w:rFonts w:cs="Tahoma"/>
          <w:lang w:eastAsia="en-US"/>
        </w:rPr>
      </w:pPr>
    </w:p>
    <w:p w:rsidR="00881CB0" w:rsidRPr="00881CB0" w:rsidRDefault="00881CB0" w:rsidP="00881CB0">
      <w:pPr>
        <w:keepNext/>
        <w:tabs>
          <w:tab w:val="left" w:pos="2836"/>
        </w:tabs>
        <w:ind w:left="454" w:hanging="454"/>
        <w:jc w:val="both"/>
        <w:outlineLvl w:val="0"/>
        <w:rPr>
          <w:rFonts w:cs="Tahoma"/>
          <w:sz w:val="32"/>
          <w:lang w:eastAsia="pl-PL"/>
        </w:rPr>
      </w:pPr>
      <w:bookmarkStart w:id="3" w:name="_Toc485388665"/>
      <w:bookmarkStart w:id="4" w:name="__RefHeading__3464_933653961"/>
      <w:r w:rsidRPr="00881CB0">
        <w:rPr>
          <w:rFonts w:ascii="Garamond" w:hAnsi="Garamond" w:cs="Arial"/>
          <w:b/>
          <w:sz w:val="28"/>
          <w:szCs w:val="28"/>
          <w:lang w:eastAsia="pl-PL"/>
        </w:rPr>
        <w:t>3. Zestawienie załatwionych przez organy Służby Więziennej skarg                   i wniosków, w rozbiciu na grupy problemowe ze szczegółową ich charakterystyką</w:t>
      </w:r>
      <w:bookmarkEnd w:id="3"/>
      <w:r w:rsidRPr="00881CB0">
        <w:rPr>
          <w:rFonts w:ascii="Garamond" w:hAnsi="Garamond" w:cs="Arial"/>
          <w:b/>
          <w:sz w:val="28"/>
          <w:szCs w:val="28"/>
          <w:lang w:eastAsia="pl-PL"/>
        </w:rPr>
        <w:t xml:space="preserve">  </w:t>
      </w:r>
      <w:bookmarkEnd w:id="4"/>
    </w:p>
    <w:p w:rsidR="00881CB0" w:rsidRPr="00881CB0" w:rsidRDefault="00881CB0" w:rsidP="00EF656A">
      <w:pPr>
        <w:spacing w:after="120" w:line="276" w:lineRule="auto"/>
        <w:rPr>
          <w:rFonts w:ascii="Arial" w:hAnsi="Arial" w:cs="Arial"/>
          <w:b/>
          <w:szCs w:val="28"/>
          <w:lang w:eastAsia="en-US"/>
        </w:rPr>
      </w:pPr>
    </w:p>
    <w:p w:rsidR="00881CB0" w:rsidRPr="00881CB0" w:rsidRDefault="00881CB0" w:rsidP="00EF656A">
      <w:pPr>
        <w:spacing w:line="360" w:lineRule="auto"/>
        <w:ind w:firstLine="454"/>
        <w:jc w:val="both"/>
        <w:rPr>
          <w:rFonts w:ascii="Garamond" w:hAnsi="Garamond" w:cs="Arial"/>
          <w:sz w:val="28"/>
          <w:szCs w:val="28"/>
          <w:lang w:eastAsia="en-US"/>
        </w:rPr>
      </w:pPr>
      <w:r w:rsidRPr="00881CB0">
        <w:rPr>
          <w:rFonts w:ascii="Garamond" w:hAnsi="Garamond" w:cs="Arial"/>
          <w:sz w:val="28"/>
          <w:szCs w:val="28"/>
          <w:lang w:eastAsia="en-US"/>
        </w:rPr>
        <w:t>Sposób gromadzenia danych w zakresie przedmiotu składanych skarg pozwala na dokładną analizę ich rodzaju i tematyki. Możliwe jest to dzięki każdorazowemu wyodrębnianiu przez osobę zajmującą się załatwianiem skarg wszystkich zawartych w niej zarzutów i grupowaniu w zależności od tematyki oraz sposobu załatwienia.</w:t>
      </w:r>
    </w:p>
    <w:p w:rsidR="00881CB0" w:rsidRPr="00881CB0" w:rsidRDefault="00881CB0" w:rsidP="007049A5">
      <w:pPr>
        <w:spacing w:line="360" w:lineRule="auto"/>
        <w:ind w:firstLine="454"/>
        <w:jc w:val="both"/>
        <w:rPr>
          <w:rFonts w:ascii="Garamond" w:hAnsi="Garamond" w:cs="Arial"/>
          <w:sz w:val="28"/>
          <w:szCs w:val="28"/>
          <w:lang w:eastAsia="en-US"/>
        </w:rPr>
      </w:pPr>
      <w:r w:rsidRPr="00881CB0">
        <w:rPr>
          <w:rFonts w:ascii="Garamond" w:hAnsi="Garamond" w:cs="Arial"/>
          <w:sz w:val="28"/>
          <w:szCs w:val="28"/>
          <w:lang w:eastAsia="en-US"/>
        </w:rPr>
        <w:t>Dzięki temu dodatkowemu nakładowi pracy można zobrazować nastroje panujące wśród osób osadzonych w zakładach karnych i aresztach śledczych, uzyskać informacje w zakresie problemów organizacyjnych oraz przypadków wystąpienia ludzkich błędów lub zachowań naruszających etykę zawodową.</w:t>
      </w:r>
    </w:p>
    <w:p w:rsidR="00881CB0" w:rsidRPr="00881CB0" w:rsidRDefault="00881CB0" w:rsidP="007049A5">
      <w:pPr>
        <w:spacing w:line="360" w:lineRule="auto"/>
        <w:ind w:firstLine="454"/>
        <w:jc w:val="both"/>
        <w:rPr>
          <w:rFonts w:ascii="Garamond" w:hAnsi="Garamond" w:cs="Arial"/>
          <w:sz w:val="28"/>
          <w:szCs w:val="28"/>
          <w:lang w:eastAsia="en-US"/>
        </w:rPr>
      </w:pPr>
      <w:r w:rsidRPr="00881CB0">
        <w:rPr>
          <w:rFonts w:ascii="Garamond" w:hAnsi="Garamond" w:cs="Arial"/>
          <w:sz w:val="28"/>
          <w:szCs w:val="28"/>
          <w:lang w:eastAsia="en-US"/>
        </w:rPr>
        <w:t>W 2016 r. kierownicy jednostek organizacyjnych więziennictwa łącznie zbadali (również w związku z udzielaniem informacji i wyjaśnień organom zewnętrznym uprawnionym do załatwiania skarg)</w:t>
      </w:r>
      <w:r w:rsidR="007049A5">
        <w:rPr>
          <w:rFonts w:ascii="Garamond" w:hAnsi="Garamond" w:cs="Arial"/>
          <w:sz w:val="28"/>
          <w:szCs w:val="28"/>
          <w:lang w:eastAsia="en-US"/>
        </w:rPr>
        <w:t xml:space="preserve"> 52.174 zarzuty podnoszone </w:t>
      </w:r>
      <w:r w:rsidRPr="00881CB0">
        <w:rPr>
          <w:rFonts w:ascii="Garamond" w:hAnsi="Garamond" w:cs="Arial"/>
          <w:sz w:val="28"/>
          <w:szCs w:val="28"/>
          <w:lang w:eastAsia="en-US"/>
        </w:rPr>
        <w:t xml:space="preserve">w skargach </w:t>
      </w:r>
      <w:r w:rsidR="007049A5">
        <w:rPr>
          <w:rFonts w:ascii="Garamond" w:hAnsi="Garamond" w:cs="Arial"/>
          <w:sz w:val="28"/>
          <w:szCs w:val="28"/>
          <w:lang w:eastAsia="en-US"/>
        </w:rPr>
        <w:br/>
      </w:r>
      <w:r w:rsidRPr="00881CB0">
        <w:rPr>
          <w:rFonts w:ascii="Garamond" w:hAnsi="Garamond" w:cs="Arial"/>
          <w:sz w:val="28"/>
          <w:szCs w:val="28"/>
          <w:lang w:eastAsia="en-US"/>
        </w:rPr>
        <w:lastRenderedPageBreak/>
        <w:t xml:space="preserve">(w 2015 r. 53.242). Spośród tych zarzutów kierownicy jednostek organizacyjnych więziennictwa rozpatrzyli we </w:t>
      </w:r>
      <w:r w:rsidR="007049A5">
        <w:rPr>
          <w:rFonts w:ascii="Garamond" w:hAnsi="Garamond" w:cs="Arial"/>
          <w:sz w:val="28"/>
          <w:szCs w:val="28"/>
          <w:lang w:eastAsia="en-US"/>
        </w:rPr>
        <w:t xml:space="preserve">własnym zakresie 41.614 zarzutów </w:t>
      </w:r>
      <w:r w:rsidRPr="00881CB0">
        <w:rPr>
          <w:rFonts w:ascii="Garamond" w:hAnsi="Garamond" w:cs="Arial"/>
          <w:sz w:val="28"/>
          <w:szCs w:val="28"/>
          <w:lang w:eastAsia="en-US"/>
        </w:rPr>
        <w:t>(w 2015 r. 42.538), uznając 486 z nich za zasadne. Najczęściej podnoszona</w:t>
      </w:r>
      <w:r w:rsidR="007049A5">
        <w:rPr>
          <w:rFonts w:ascii="Garamond" w:hAnsi="Garamond" w:cs="Arial"/>
          <w:sz w:val="28"/>
          <w:szCs w:val="28"/>
          <w:lang w:eastAsia="en-US"/>
        </w:rPr>
        <w:t xml:space="preserve"> </w:t>
      </w:r>
      <w:r w:rsidRPr="00881CB0">
        <w:rPr>
          <w:rFonts w:ascii="Garamond" w:hAnsi="Garamond" w:cs="Arial"/>
          <w:sz w:val="28"/>
          <w:szCs w:val="28"/>
          <w:lang w:eastAsia="en-US"/>
        </w:rPr>
        <w:t xml:space="preserve">w skargach osób pozbawionych wolności problematyka dotyczy traktowania przez funkcjonariuszy </w:t>
      </w:r>
      <w:r w:rsidR="007049A5">
        <w:rPr>
          <w:rFonts w:ascii="Garamond" w:hAnsi="Garamond" w:cs="Arial"/>
          <w:sz w:val="28"/>
          <w:szCs w:val="28"/>
          <w:lang w:eastAsia="en-US"/>
        </w:rPr>
        <w:t xml:space="preserve">            </w:t>
      </w:r>
      <w:r w:rsidRPr="00881CB0">
        <w:rPr>
          <w:rFonts w:ascii="Garamond" w:hAnsi="Garamond" w:cs="Arial"/>
          <w:sz w:val="28"/>
          <w:szCs w:val="28"/>
          <w:lang w:eastAsia="en-US"/>
        </w:rPr>
        <w:t>i pracowników Służby Więziennej, sprawowanej nad nimi opieki zdrowotnej, warunków bytowych.</w:t>
      </w:r>
    </w:p>
    <w:p w:rsidR="00881CB0" w:rsidRPr="00881CB0" w:rsidRDefault="00881CB0" w:rsidP="007049A5">
      <w:pPr>
        <w:spacing w:line="360" w:lineRule="auto"/>
        <w:ind w:firstLine="454"/>
        <w:jc w:val="both"/>
        <w:rPr>
          <w:rFonts w:ascii="Garamond" w:hAnsi="Garamond" w:cs="Arial"/>
          <w:sz w:val="28"/>
          <w:szCs w:val="28"/>
          <w:lang w:eastAsia="en-US"/>
        </w:rPr>
      </w:pPr>
      <w:r w:rsidRPr="00881CB0">
        <w:rPr>
          <w:rFonts w:ascii="Garamond" w:hAnsi="Garamond" w:cs="Arial"/>
          <w:sz w:val="28"/>
          <w:szCs w:val="28"/>
          <w:lang w:eastAsia="en-US"/>
        </w:rPr>
        <w:t>Problematykę tę ilustruje tabela nr 1.</w:t>
      </w:r>
    </w:p>
    <w:p w:rsidR="00881CB0" w:rsidRPr="00881CB0" w:rsidRDefault="00881CB0" w:rsidP="00A74CC2">
      <w:pPr>
        <w:spacing w:after="120" w:line="276" w:lineRule="auto"/>
        <w:rPr>
          <w:rFonts w:ascii="Arial" w:hAnsi="Arial" w:cs="Arial"/>
          <w:szCs w:val="26"/>
          <w:lang w:eastAsia="en-US"/>
        </w:rPr>
      </w:pPr>
    </w:p>
    <w:p w:rsidR="00881CB0" w:rsidRPr="00881CB0" w:rsidRDefault="00881CB0" w:rsidP="00881CB0">
      <w:pPr>
        <w:keepNext/>
        <w:tabs>
          <w:tab w:val="left" w:pos="2836"/>
        </w:tabs>
        <w:jc w:val="both"/>
        <w:outlineLvl w:val="7"/>
        <w:rPr>
          <w:rFonts w:cs="Tahoma"/>
          <w:b/>
          <w:lang w:eastAsia="pl-PL"/>
        </w:rPr>
      </w:pPr>
      <w:bookmarkStart w:id="5" w:name="_Toc485388690"/>
      <w:r w:rsidRPr="00881CB0">
        <w:rPr>
          <w:rFonts w:ascii="Garamond" w:hAnsi="Garamond" w:cs="Arial"/>
          <w:b/>
          <w:lang w:eastAsia="pl-PL"/>
        </w:rPr>
        <w:t>Tabela 1:</w:t>
      </w:r>
      <w:r w:rsidRPr="00881CB0">
        <w:rPr>
          <w:rFonts w:ascii="Garamond" w:hAnsi="Garamond" w:cs="Arial"/>
          <w:lang w:eastAsia="pl-PL"/>
        </w:rPr>
        <w:t xml:space="preserve"> Zestawienie najczęściej podnoszonych zarzutów zawartych w skargach w sprawach osób osadzonych w zakładach karnych i aresztach śledczych, załatwionych we własnym zakresie przez kierowników jednostek organizacyjnych Służby Więziennej w 2016 r. – w porównaniu </w:t>
      </w:r>
      <w:r w:rsidR="007A3BE7">
        <w:rPr>
          <w:rFonts w:ascii="Garamond" w:hAnsi="Garamond" w:cs="Arial"/>
          <w:lang w:eastAsia="pl-PL"/>
        </w:rPr>
        <w:t xml:space="preserve">      </w:t>
      </w:r>
      <w:r w:rsidRPr="00881CB0">
        <w:rPr>
          <w:rFonts w:ascii="Garamond" w:hAnsi="Garamond" w:cs="Arial"/>
          <w:lang w:eastAsia="pl-PL"/>
        </w:rPr>
        <w:t>do roku 2015.</w:t>
      </w:r>
      <w:bookmarkEnd w:id="5"/>
    </w:p>
    <w:p w:rsidR="00881CB0" w:rsidRPr="00881CB0" w:rsidRDefault="00881CB0" w:rsidP="00881CB0">
      <w:pPr>
        <w:spacing w:after="200" w:line="276" w:lineRule="auto"/>
        <w:rPr>
          <w:rFonts w:cs="Tahoma"/>
          <w:lang w:eastAsia="en-US"/>
        </w:rPr>
      </w:pPr>
    </w:p>
    <w:p w:rsidR="00881CB0" w:rsidRPr="00881CB0" w:rsidRDefault="00881CB0" w:rsidP="00881CB0">
      <w:pPr>
        <w:spacing w:after="200" w:line="276" w:lineRule="auto"/>
        <w:rPr>
          <w:rFonts w:cs="Tahoma"/>
          <w:lang w:eastAsia="en-US"/>
        </w:rPr>
      </w:pPr>
      <w:r w:rsidRPr="00881CB0">
        <w:rPr>
          <w:rFonts w:cs="Tahoma"/>
          <w:noProof/>
          <w:lang w:eastAsia="pl-PL" w:bidi="ar-SA"/>
        </w:rPr>
        <w:drawing>
          <wp:inline distT="0" distB="0" distL="0" distR="0" wp14:anchorId="1036B9A3" wp14:editId="1E7C5DDC">
            <wp:extent cx="5759997" cy="4210199"/>
            <wp:effectExtent l="0" t="0" r="0" b="0"/>
            <wp:docPr id="7"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lum/>
                      <a:alphaModFix/>
                    </a:blip>
                    <a:srcRect/>
                    <a:stretch>
                      <a:fillRect/>
                    </a:stretch>
                  </pic:blipFill>
                  <pic:spPr>
                    <a:xfrm>
                      <a:off x="0" y="0"/>
                      <a:ext cx="5759997" cy="4210199"/>
                    </a:xfrm>
                    <a:prstGeom prst="rect">
                      <a:avLst/>
                    </a:prstGeom>
                    <a:noFill/>
                    <a:ln>
                      <a:noFill/>
                      <a:prstDash/>
                    </a:ln>
                  </pic:spPr>
                </pic:pic>
              </a:graphicData>
            </a:graphic>
          </wp:inline>
        </w:drawing>
      </w:r>
    </w:p>
    <w:p w:rsidR="00881CB0" w:rsidRPr="00881CB0" w:rsidRDefault="00881CB0" w:rsidP="00A74CC2">
      <w:pPr>
        <w:spacing w:after="120" w:line="276" w:lineRule="auto"/>
        <w:rPr>
          <w:rFonts w:ascii="Arial" w:hAnsi="Arial" w:cs="Arial"/>
          <w:color w:val="000000"/>
          <w:szCs w:val="26"/>
          <w:lang w:eastAsia="en-US"/>
        </w:rPr>
      </w:pPr>
    </w:p>
    <w:p w:rsidR="00881CB0" w:rsidRDefault="00881CB0" w:rsidP="007049A5">
      <w:pPr>
        <w:spacing w:line="360" w:lineRule="auto"/>
        <w:ind w:firstLine="708"/>
        <w:jc w:val="both"/>
        <w:rPr>
          <w:rFonts w:ascii="Garamond" w:hAnsi="Garamond" w:cs="Arial"/>
          <w:color w:val="000000"/>
          <w:sz w:val="28"/>
          <w:szCs w:val="28"/>
          <w:lang w:eastAsia="en-US"/>
        </w:rPr>
      </w:pPr>
      <w:r w:rsidRPr="00881CB0">
        <w:rPr>
          <w:rFonts w:ascii="Garamond" w:hAnsi="Garamond" w:cs="Arial"/>
          <w:color w:val="000000"/>
          <w:sz w:val="28"/>
          <w:szCs w:val="28"/>
          <w:lang w:eastAsia="en-US"/>
        </w:rPr>
        <w:t>Najw</w:t>
      </w:r>
      <w:r w:rsidR="007049A5">
        <w:rPr>
          <w:rFonts w:ascii="Garamond" w:hAnsi="Garamond" w:cs="Arial"/>
          <w:color w:val="000000"/>
          <w:sz w:val="28"/>
          <w:szCs w:val="28"/>
          <w:lang w:eastAsia="en-US"/>
        </w:rPr>
        <w:t xml:space="preserve">iększy spadek ilości zarzutów - </w:t>
      </w:r>
      <w:r w:rsidRPr="00881CB0">
        <w:rPr>
          <w:rFonts w:ascii="Garamond" w:hAnsi="Garamond" w:cs="Arial"/>
          <w:color w:val="000000"/>
          <w:sz w:val="28"/>
          <w:szCs w:val="28"/>
          <w:lang w:eastAsia="en-US"/>
        </w:rPr>
        <w:t xml:space="preserve">o 38,18%, odnotowano </w:t>
      </w:r>
      <w:r w:rsidRPr="00881CB0">
        <w:rPr>
          <w:rFonts w:ascii="Garamond" w:hAnsi="Garamond" w:cs="Arial"/>
          <w:sz w:val="28"/>
          <w:szCs w:val="28"/>
          <w:lang w:eastAsia="en-US"/>
        </w:rPr>
        <w:t>z zakresu realizacji zakupów oraz przepustek, o 29,44% z zakresu pomocy postpenitencjarnej, a o 28,44% z zakresu zezwoleń na opuszczenie zakładu karnego</w:t>
      </w:r>
      <w:r w:rsidRPr="00881CB0">
        <w:rPr>
          <w:rFonts w:ascii="Garamond" w:hAnsi="Garamond" w:cs="Arial"/>
          <w:color w:val="000000"/>
          <w:sz w:val="28"/>
          <w:szCs w:val="28"/>
          <w:lang w:eastAsia="en-US"/>
        </w:rPr>
        <w:t>.</w:t>
      </w:r>
    </w:p>
    <w:p w:rsidR="00EB0B12" w:rsidRPr="00881CB0" w:rsidRDefault="00EB0B12" w:rsidP="007049A5">
      <w:pPr>
        <w:spacing w:line="360" w:lineRule="auto"/>
        <w:ind w:firstLine="708"/>
        <w:jc w:val="both"/>
        <w:rPr>
          <w:rFonts w:cs="Tahoma"/>
          <w:lang w:eastAsia="en-US"/>
        </w:rPr>
      </w:pPr>
    </w:p>
    <w:p w:rsidR="00881CB0" w:rsidRPr="00881CB0" w:rsidRDefault="00881CB0" w:rsidP="00881CB0">
      <w:pPr>
        <w:spacing w:line="360" w:lineRule="auto"/>
        <w:ind w:firstLine="709"/>
        <w:jc w:val="both"/>
        <w:rPr>
          <w:rFonts w:ascii="Garamond" w:hAnsi="Garamond" w:cs="Arial"/>
          <w:sz w:val="28"/>
          <w:szCs w:val="28"/>
          <w:lang w:eastAsia="en-US"/>
        </w:rPr>
      </w:pPr>
      <w:r w:rsidRPr="00881CB0">
        <w:rPr>
          <w:rFonts w:ascii="Garamond" w:hAnsi="Garamond" w:cs="Arial"/>
          <w:sz w:val="28"/>
          <w:szCs w:val="28"/>
          <w:lang w:eastAsia="en-US"/>
        </w:rPr>
        <w:lastRenderedPageBreak/>
        <w:t>Największy wzrost ilości zarzutów stawianych przez osoby osadzone             w zakładach karnych i aresztach śledczych – o 10,36% (194 zarzuty więcej               w porównaniu do poprzedniego okresu sprawozdawczego) – odnotowano               w zakresie zarzutów związanych z korespondencją osób osadzonych i o 9,87%         w zakresie traktowania przez funkcjonariuszy i pracowników Służby Więziennej.</w:t>
      </w:r>
    </w:p>
    <w:p w:rsidR="00881CB0" w:rsidRPr="00881CB0" w:rsidRDefault="00881CB0" w:rsidP="00CF5CAD">
      <w:pPr>
        <w:spacing w:line="360" w:lineRule="auto"/>
        <w:ind w:firstLine="643"/>
        <w:jc w:val="both"/>
        <w:rPr>
          <w:rFonts w:ascii="Garamond" w:hAnsi="Garamond" w:cs="Arial"/>
          <w:sz w:val="28"/>
          <w:szCs w:val="28"/>
          <w:lang w:eastAsia="en-US"/>
        </w:rPr>
      </w:pPr>
      <w:r w:rsidRPr="00881CB0">
        <w:rPr>
          <w:rFonts w:ascii="Garamond" w:hAnsi="Garamond" w:cs="Arial"/>
          <w:sz w:val="28"/>
          <w:szCs w:val="28"/>
          <w:lang w:eastAsia="en-US"/>
        </w:rPr>
        <w:t>Corocznie, spośród stu kilkudziesięciu wyodrębnianych tematycznie zarzutów załatwianych we własnym zakresie przez kierowników jednostek organizacyjnych SW, jak i w związku z udzielaniem informacji i wyjaśnień organom pozawięziennym, odnotowuje się ich największą ilość w zakresie kilku zagadnień. Niezmiennie są to zarzuty dotyczące:</w:t>
      </w:r>
    </w:p>
    <w:p w:rsidR="00881CB0" w:rsidRPr="00881CB0" w:rsidRDefault="00881CB0" w:rsidP="00881CB0">
      <w:pPr>
        <w:numPr>
          <w:ilvl w:val="0"/>
          <w:numId w:val="11"/>
        </w:numPr>
        <w:spacing w:line="360" w:lineRule="auto"/>
        <w:jc w:val="both"/>
        <w:rPr>
          <w:rFonts w:cs="Tahoma"/>
          <w:lang w:eastAsia="en-US"/>
        </w:rPr>
      </w:pPr>
      <w:r w:rsidRPr="00881CB0">
        <w:rPr>
          <w:rFonts w:ascii="Garamond" w:hAnsi="Garamond" w:cs="Arial"/>
          <w:sz w:val="28"/>
          <w:szCs w:val="28"/>
          <w:lang w:eastAsia="en-US"/>
        </w:rPr>
        <w:t xml:space="preserve">traktowania przez funkcjonariuszy i pracowników SW, gdzie odnotowano 13.299 </w:t>
      </w:r>
      <w:r w:rsidRPr="00881CB0">
        <w:rPr>
          <w:rFonts w:ascii="Garamond" w:eastAsia="Times New Roman" w:hAnsi="Garamond" w:cs="Arial"/>
          <w:sz w:val="28"/>
          <w:szCs w:val="28"/>
          <w:lang w:eastAsia="en-US" w:bidi="ar-SA"/>
        </w:rPr>
        <w:t>zarzutów, z czego 11.332 załatwili kierownicy jednostek organizacyjnych więziennictwa, 25 z nich uznając za zasadne,</w:t>
      </w:r>
    </w:p>
    <w:p w:rsidR="00881CB0" w:rsidRPr="00881CB0" w:rsidRDefault="00881CB0" w:rsidP="00881CB0">
      <w:pPr>
        <w:numPr>
          <w:ilvl w:val="0"/>
          <w:numId w:val="11"/>
        </w:numPr>
        <w:spacing w:line="360" w:lineRule="auto"/>
        <w:jc w:val="both"/>
        <w:rPr>
          <w:rFonts w:ascii="Garamond" w:eastAsia="Times New Roman" w:hAnsi="Garamond" w:cs="Arial"/>
          <w:sz w:val="28"/>
          <w:szCs w:val="28"/>
          <w:lang w:eastAsia="en-US" w:bidi="ar-SA"/>
        </w:rPr>
      </w:pPr>
      <w:r w:rsidRPr="00881CB0">
        <w:rPr>
          <w:rFonts w:ascii="Garamond" w:eastAsia="Times New Roman" w:hAnsi="Garamond" w:cs="Arial"/>
          <w:sz w:val="28"/>
          <w:szCs w:val="28"/>
          <w:lang w:eastAsia="en-US" w:bidi="ar-SA"/>
        </w:rPr>
        <w:t>warunków bytowych, gdzie odnotowano 8.123 zarzuty, z czego 6.832 załatwili kierownicy jednostek organizacyjnych więziennictwa, 138 z nich uznając za zasadne oraz</w:t>
      </w:r>
    </w:p>
    <w:p w:rsidR="00881CB0" w:rsidRPr="00881CB0" w:rsidRDefault="00881CB0" w:rsidP="00881CB0">
      <w:pPr>
        <w:numPr>
          <w:ilvl w:val="0"/>
          <w:numId w:val="11"/>
        </w:numPr>
        <w:spacing w:line="360" w:lineRule="auto"/>
        <w:jc w:val="both"/>
        <w:rPr>
          <w:rFonts w:ascii="Garamond" w:eastAsia="Times New Roman" w:hAnsi="Garamond" w:cs="Arial"/>
          <w:sz w:val="28"/>
          <w:szCs w:val="28"/>
          <w:lang w:eastAsia="en-US" w:bidi="ar-SA"/>
        </w:rPr>
      </w:pPr>
      <w:r w:rsidRPr="00881CB0">
        <w:rPr>
          <w:rFonts w:ascii="Garamond" w:eastAsia="Times New Roman" w:hAnsi="Garamond" w:cs="Arial"/>
          <w:sz w:val="28"/>
          <w:szCs w:val="28"/>
          <w:lang w:eastAsia="en-US" w:bidi="ar-SA"/>
        </w:rPr>
        <w:t>opieki zdrowotnej, w zakresie której osadzeni podnieśli ogółem 7.126 zarzutów, z których 6.188 załatwili kierownicy jednostek organizacyjnych więziennictwa, 54 z nich uznając za zasadne.</w:t>
      </w:r>
    </w:p>
    <w:p w:rsidR="00881CB0" w:rsidRPr="00881CB0" w:rsidRDefault="00881CB0" w:rsidP="00CF5CAD">
      <w:pPr>
        <w:spacing w:line="360" w:lineRule="auto"/>
        <w:ind w:firstLine="643"/>
        <w:jc w:val="both"/>
        <w:rPr>
          <w:rFonts w:cs="Tahoma"/>
          <w:lang w:eastAsia="en-US"/>
        </w:rPr>
      </w:pPr>
      <w:r w:rsidRPr="00881CB0">
        <w:rPr>
          <w:rFonts w:ascii="Garamond" w:eastAsia="Times New Roman" w:hAnsi="Garamond" w:cs="Arial"/>
          <w:sz w:val="28"/>
          <w:szCs w:val="28"/>
          <w:lang w:eastAsia="en-US" w:bidi="ar-SA"/>
        </w:rPr>
        <w:t>Wśród zarzutów rozpatrzonych przez kierowników jednostek organizacyjnych Służby Więziennej we własnym zakresie w przedmiocie problematyki</w:t>
      </w:r>
      <w:r w:rsidRPr="00881CB0">
        <w:rPr>
          <w:rFonts w:ascii="Garamond" w:hAnsi="Garamond" w:cs="Arial"/>
          <w:sz w:val="28"/>
          <w:szCs w:val="28"/>
          <w:lang w:eastAsia="en-US"/>
        </w:rPr>
        <w:t xml:space="preserve"> traktowania osadzonych przez funkcjonariuszy badano okoliczności: użycia środków przymusu bezpośredniego – 109 (2 zarzuty zostały uznane za zasadne), pobicia – 274 (żaden zarzut nie został uznany za zasadny), agresji werbalnej – 964 (żaden zarzut nie został uznany za zasadny), zaniechania określonego działania – 1.881 (w tym 6 zarzutów uznano za uzasadnione), sporządzenia wniosku o wymierzenie kary dyscyplinarnej – 874 (w tym 5 zarzutów uznano za uzasadnione), zapewnienia bezpieczeństwa – 607 (w tym 3 zarzuty uznano za uzasadnione), sposobu przeprowadzania kontroli osobistej/ kontroli </w:t>
      </w:r>
      <w:r w:rsidR="000C5C45">
        <w:rPr>
          <w:rFonts w:ascii="Garamond" w:hAnsi="Garamond" w:cs="Arial"/>
          <w:sz w:val="28"/>
          <w:szCs w:val="28"/>
          <w:lang w:eastAsia="en-US"/>
        </w:rPr>
        <w:t xml:space="preserve"> </w:t>
      </w:r>
      <w:r w:rsidRPr="00881CB0">
        <w:rPr>
          <w:rFonts w:ascii="Garamond" w:hAnsi="Garamond" w:cs="Arial"/>
          <w:sz w:val="28"/>
          <w:szCs w:val="28"/>
          <w:lang w:eastAsia="en-US"/>
        </w:rPr>
        <w:t xml:space="preserve">celi mieszkalnej – 928 (żaden zarzut nie został uznany </w:t>
      </w:r>
      <w:r w:rsidR="000C5C45">
        <w:rPr>
          <w:rFonts w:ascii="Garamond" w:hAnsi="Garamond" w:cs="Arial"/>
          <w:sz w:val="28"/>
          <w:szCs w:val="28"/>
          <w:lang w:eastAsia="en-US"/>
        </w:rPr>
        <w:t xml:space="preserve">za zasadny), dyskryminacji na </w:t>
      </w:r>
      <w:r w:rsidRPr="00881CB0">
        <w:rPr>
          <w:rFonts w:ascii="Garamond" w:hAnsi="Garamond" w:cs="Arial"/>
          <w:sz w:val="28"/>
          <w:szCs w:val="28"/>
          <w:lang w:eastAsia="en-US"/>
        </w:rPr>
        <w:t xml:space="preserve">tle rasowym i etnicznym – 17 (żaden zarzut nie został uznany za zasadny), </w:t>
      </w:r>
      <w:r w:rsidRPr="00881CB0">
        <w:rPr>
          <w:rFonts w:ascii="Garamond" w:hAnsi="Garamond" w:cs="Arial"/>
          <w:sz w:val="28"/>
          <w:szCs w:val="28"/>
          <w:lang w:eastAsia="en-US"/>
        </w:rPr>
        <w:lastRenderedPageBreak/>
        <w:t xml:space="preserve">dyskryminacji na tle wyznaniowym – 56 (żaden zarzut nie został uznany za zasadny), dyskryminacji na tle orientacji seksualnej – 1 (zarzut nie został uznany </w:t>
      </w:r>
      <w:r w:rsidR="00D97C0A">
        <w:rPr>
          <w:rFonts w:ascii="Garamond" w:hAnsi="Garamond" w:cs="Arial"/>
          <w:sz w:val="28"/>
          <w:szCs w:val="28"/>
          <w:lang w:eastAsia="en-US"/>
        </w:rPr>
        <w:t xml:space="preserve">     </w:t>
      </w:r>
      <w:r w:rsidRPr="00881CB0">
        <w:rPr>
          <w:rFonts w:ascii="Garamond" w:hAnsi="Garamond" w:cs="Arial"/>
          <w:sz w:val="28"/>
          <w:szCs w:val="28"/>
          <w:lang w:eastAsia="en-US"/>
        </w:rPr>
        <w:t>za zasadny), innych form niewłaściwego traktowania – 5.621 (w tym 9 zarzutów uznano za uzasadnione).</w:t>
      </w:r>
    </w:p>
    <w:p w:rsidR="00881CB0" w:rsidRPr="00881CB0" w:rsidRDefault="00881CB0" w:rsidP="00CF5CAD">
      <w:pPr>
        <w:spacing w:line="360" w:lineRule="auto"/>
        <w:ind w:firstLine="643"/>
        <w:jc w:val="both"/>
        <w:rPr>
          <w:rFonts w:ascii="Garamond" w:hAnsi="Garamond" w:cs="Arial"/>
          <w:sz w:val="28"/>
          <w:szCs w:val="28"/>
          <w:lang w:eastAsia="en-US"/>
        </w:rPr>
      </w:pPr>
      <w:r w:rsidRPr="00881CB0">
        <w:rPr>
          <w:rFonts w:ascii="Garamond" w:hAnsi="Garamond" w:cs="Arial"/>
          <w:sz w:val="28"/>
          <w:szCs w:val="28"/>
          <w:lang w:eastAsia="en-US"/>
        </w:rPr>
        <w:t>Dodatkowo organy Służby Więziennej udzieliły wyjaśnień i informacji            w zakresie 1.967 zarzutów dotyczących traktowania osadzonych przez funkcjonariuszy i pracowników SW, m.in. w zakresie użycia środków przymusu bezpośredniego (50), pobicia (84), agresji werbalnej (149), zaniechania określonego działania (245), sporządzenia wniosku o wymierzenie kary dyscyplinarnej (363), zapewnienia bezpieczeństwa (112), sposobu przeprowadzania kontroli osobistej/celi mieszkalnej (136), dyskryminacji na tle rasowym i etnicznym (9), dyskryminacji na tle wyznaniowym (8), dyskryminacji na tle orientacji seksualnej (1), innych form niewłaściwego traktowania (810).</w:t>
      </w:r>
    </w:p>
    <w:p w:rsidR="00881CB0" w:rsidRPr="00881CB0" w:rsidRDefault="00881CB0" w:rsidP="00CF5CAD">
      <w:pPr>
        <w:spacing w:line="360" w:lineRule="auto"/>
        <w:ind w:firstLine="643"/>
        <w:jc w:val="both"/>
        <w:rPr>
          <w:rFonts w:ascii="Garamond" w:hAnsi="Garamond" w:cs="Arial"/>
          <w:sz w:val="28"/>
          <w:szCs w:val="28"/>
          <w:lang w:eastAsia="en-US"/>
        </w:rPr>
      </w:pPr>
      <w:r w:rsidRPr="00881CB0">
        <w:rPr>
          <w:rFonts w:ascii="Garamond" w:hAnsi="Garamond" w:cs="Arial"/>
          <w:sz w:val="28"/>
          <w:szCs w:val="28"/>
          <w:lang w:eastAsia="en-US"/>
        </w:rPr>
        <w:t xml:space="preserve">W zakresie warunków bytowych osadzeni skarżyli się bezpośrednio do organów Służby Więziennej: 216 razy podając zarzut przeludnienia (żaden zarzut nie został uznany za zasadny), 1.537 razy w sprawie warunków panujących               w pomieszczeniach mieszkalnych (z czego 5 zarzutów uznano za uzasadnione), </w:t>
      </w:r>
      <w:r w:rsidR="000C5C45">
        <w:rPr>
          <w:rFonts w:ascii="Garamond" w:hAnsi="Garamond" w:cs="Arial"/>
          <w:sz w:val="28"/>
          <w:szCs w:val="28"/>
          <w:lang w:eastAsia="en-US"/>
        </w:rPr>
        <w:t xml:space="preserve"> </w:t>
      </w:r>
      <w:r w:rsidRPr="00881CB0">
        <w:rPr>
          <w:rFonts w:ascii="Garamond" w:hAnsi="Garamond" w:cs="Arial"/>
          <w:sz w:val="28"/>
          <w:szCs w:val="28"/>
          <w:lang w:eastAsia="en-US"/>
        </w:rPr>
        <w:t xml:space="preserve">244 razy w sprawie przebywania z osobami palącymi wyroby tytoniowe (12 zarzutów uznano za zasadne), 1.503 razy w sprawie wyżywienia (10 zarzutów uznano za zasadne), 1.099 razy w sprawie rozmieszczenia w oddziałach i celach mieszkalnych (12 zarzutów uznano za uzasadnione), 196 razy w sprawie środków do utrzymania czystości i higieny osobistej (1 zarzut uznano za uzasadniony), </w:t>
      </w:r>
      <w:r w:rsidR="000C5C45">
        <w:rPr>
          <w:rFonts w:ascii="Garamond" w:hAnsi="Garamond" w:cs="Arial"/>
          <w:sz w:val="28"/>
          <w:szCs w:val="28"/>
          <w:lang w:eastAsia="en-US"/>
        </w:rPr>
        <w:t xml:space="preserve">    </w:t>
      </w:r>
      <w:r w:rsidRPr="00881CB0">
        <w:rPr>
          <w:rFonts w:ascii="Garamond" w:hAnsi="Garamond" w:cs="Arial"/>
          <w:sz w:val="28"/>
          <w:szCs w:val="28"/>
          <w:lang w:eastAsia="en-US"/>
        </w:rPr>
        <w:t xml:space="preserve">176 razy w sprawie stanu materacy, pościeli i bielizny (żaden zarzut nie został uznany za zasadny), 496 razy w sprawie realizacji spacerów (2 zarzuty uznano </w:t>
      </w:r>
      <w:r w:rsidR="000C5C45">
        <w:rPr>
          <w:rFonts w:ascii="Garamond" w:hAnsi="Garamond" w:cs="Arial"/>
          <w:sz w:val="28"/>
          <w:szCs w:val="28"/>
          <w:lang w:eastAsia="en-US"/>
        </w:rPr>
        <w:t xml:space="preserve">        </w:t>
      </w:r>
      <w:r w:rsidRPr="00881CB0">
        <w:rPr>
          <w:rFonts w:ascii="Garamond" w:hAnsi="Garamond" w:cs="Arial"/>
          <w:sz w:val="28"/>
          <w:szCs w:val="28"/>
          <w:lang w:eastAsia="en-US"/>
        </w:rPr>
        <w:t>za za</w:t>
      </w:r>
      <w:r w:rsidR="000C5C45">
        <w:rPr>
          <w:rFonts w:ascii="Garamond" w:hAnsi="Garamond" w:cs="Arial"/>
          <w:sz w:val="28"/>
          <w:szCs w:val="28"/>
          <w:lang w:eastAsia="en-US"/>
        </w:rPr>
        <w:t xml:space="preserve">sadne), 255 razy </w:t>
      </w:r>
      <w:r w:rsidRPr="00881CB0">
        <w:rPr>
          <w:rFonts w:ascii="Garamond" w:hAnsi="Garamond" w:cs="Arial"/>
          <w:sz w:val="28"/>
          <w:szCs w:val="28"/>
          <w:lang w:eastAsia="en-US"/>
        </w:rPr>
        <w:t>w sprawie realizacji kąpieli (1 zarzut został uznany za zasadny), 1.110 razy wskazywali zarzut w zakresie innych spraw, dotyczących warunkó</w:t>
      </w:r>
      <w:r w:rsidR="000C5C45">
        <w:rPr>
          <w:rFonts w:ascii="Garamond" w:hAnsi="Garamond" w:cs="Arial"/>
          <w:sz w:val="28"/>
          <w:szCs w:val="28"/>
          <w:lang w:eastAsia="en-US"/>
        </w:rPr>
        <w:t>w bytowych</w:t>
      </w:r>
      <w:r w:rsidRPr="00881CB0">
        <w:rPr>
          <w:rFonts w:ascii="Garamond" w:hAnsi="Garamond" w:cs="Arial"/>
          <w:sz w:val="28"/>
          <w:szCs w:val="28"/>
          <w:lang w:eastAsia="en-US"/>
        </w:rPr>
        <w:t xml:space="preserve"> (z czego 95 uznano za uzasadnione).</w:t>
      </w:r>
    </w:p>
    <w:p w:rsidR="00881CB0" w:rsidRPr="00881CB0" w:rsidRDefault="00CF5CAD" w:rsidP="00CF5CAD">
      <w:pPr>
        <w:spacing w:line="360" w:lineRule="auto"/>
        <w:ind w:firstLine="643"/>
        <w:jc w:val="both"/>
        <w:rPr>
          <w:rFonts w:cs="Tahoma"/>
          <w:lang w:eastAsia="en-US"/>
        </w:rPr>
      </w:pPr>
      <w:r>
        <w:rPr>
          <w:rFonts w:ascii="Garamond" w:hAnsi="Garamond" w:cs="Arial"/>
          <w:sz w:val="28"/>
          <w:szCs w:val="28"/>
          <w:lang w:eastAsia="en-US"/>
        </w:rPr>
        <w:t xml:space="preserve">Ponadto </w:t>
      </w:r>
      <w:r w:rsidR="00881CB0" w:rsidRPr="00881CB0">
        <w:rPr>
          <w:rFonts w:ascii="Garamond" w:hAnsi="Garamond" w:cs="Arial"/>
          <w:sz w:val="28"/>
          <w:szCs w:val="28"/>
          <w:lang w:eastAsia="en-US"/>
        </w:rPr>
        <w:t xml:space="preserve">organy Służby Więziennej udzieliły wyjaśnień i informacji                w zakresie 1.291 zarzutów dotyczących warunków bytowych, w tym: przeludnienia (54), warunków panujących w pomieszczeniach mieszkalnych (306), przebywania        z osobami palącymi wyroby tytoniowe (56), wyżywienia (184), rozmieszczenia          </w:t>
      </w:r>
      <w:r w:rsidR="00881CB0" w:rsidRPr="00881CB0">
        <w:rPr>
          <w:rFonts w:ascii="Garamond" w:hAnsi="Garamond" w:cs="Arial"/>
          <w:sz w:val="28"/>
          <w:szCs w:val="28"/>
          <w:lang w:eastAsia="en-US"/>
        </w:rPr>
        <w:lastRenderedPageBreak/>
        <w:t>w oddziałach i celach mieszkalnych (273), środków do utrzymania czystości               i higieny osobistej (33), stanu pościeli, materacy, bielizny (39), realizacji spacerów</w:t>
      </w:r>
      <w:r w:rsidR="00881CB0" w:rsidRPr="00881CB0">
        <w:rPr>
          <w:rFonts w:ascii="Arial" w:hAnsi="Arial" w:cs="Arial"/>
          <w:szCs w:val="26"/>
          <w:lang w:eastAsia="en-US"/>
        </w:rPr>
        <w:t xml:space="preserve"> </w:t>
      </w:r>
      <w:r w:rsidR="00881CB0" w:rsidRPr="00881CB0">
        <w:rPr>
          <w:rFonts w:ascii="Garamond" w:hAnsi="Garamond" w:cs="Arial"/>
          <w:sz w:val="28"/>
          <w:szCs w:val="28"/>
          <w:lang w:eastAsia="en-US"/>
        </w:rPr>
        <w:t>(94), realizacji kąpieli (59), w zakresie innych, dotyczących warunków bytowych (193).</w:t>
      </w:r>
    </w:p>
    <w:p w:rsidR="00881CB0" w:rsidRPr="00881CB0" w:rsidRDefault="00881CB0" w:rsidP="00CF5CAD">
      <w:pPr>
        <w:spacing w:line="360" w:lineRule="auto"/>
        <w:ind w:firstLine="643"/>
        <w:jc w:val="both"/>
        <w:rPr>
          <w:rFonts w:ascii="Garamond" w:hAnsi="Garamond" w:cs="Arial"/>
          <w:sz w:val="28"/>
          <w:szCs w:val="28"/>
          <w:lang w:eastAsia="en-US"/>
        </w:rPr>
      </w:pPr>
      <w:r w:rsidRPr="00881CB0">
        <w:rPr>
          <w:rFonts w:ascii="Garamond" w:hAnsi="Garamond" w:cs="Arial"/>
          <w:sz w:val="28"/>
          <w:szCs w:val="28"/>
          <w:lang w:eastAsia="en-US"/>
        </w:rPr>
        <w:t xml:space="preserve">W grupie wszystkich zarzutów na opiekę zdrowotną (7.126) największą </w:t>
      </w:r>
      <w:r w:rsidR="007F3722">
        <w:rPr>
          <w:rFonts w:ascii="Garamond" w:hAnsi="Garamond" w:cs="Arial"/>
          <w:sz w:val="28"/>
          <w:szCs w:val="28"/>
          <w:lang w:eastAsia="en-US"/>
        </w:rPr>
        <w:t xml:space="preserve">    </w:t>
      </w:r>
      <w:r w:rsidRPr="00881CB0">
        <w:rPr>
          <w:rFonts w:ascii="Garamond" w:hAnsi="Garamond" w:cs="Arial"/>
          <w:sz w:val="28"/>
          <w:szCs w:val="28"/>
          <w:lang w:eastAsia="en-US"/>
        </w:rPr>
        <w:t>ilość zarzutów osadzeni zgłosili do organów Służby Więzienn</w:t>
      </w:r>
      <w:r w:rsidR="00B972E6">
        <w:rPr>
          <w:rFonts w:ascii="Garamond" w:hAnsi="Garamond" w:cs="Arial"/>
          <w:sz w:val="28"/>
          <w:szCs w:val="28"/>
          <w:lang w:eastAsia="en-US"/>
        </w:rPr>
        <w:t xml:space="preserve">ej – 6.188. </w:t>
      </w:r>
      <w:r w:rsidR="007F3722">
        <w:rPr>
          <w:rFonts w:ascii="Garamond" w:hAnsi="Garamond" w:cs="Arial"/>
          <w:sz w:val="28"/>
          <w:szCs w:val="28"/>
          <w:lang w:eastAsia="en-US"/>
        </w:rPr>
        <w:t xml:space="preserve">  Wyjaśnień</w:t>
      </w:r>
      <w:r w:rsidR="00EB0B12">
        <w:rPr>
          <w:rFonts w:ascii="Garamond" w:hAnsi="Garamond" w:cs="Arial"/>
          <w:sz w:val="28"/>
          <w:szCs w:val="28"/>
          <w:lang w:eastAsia="en-US"/>
        </w:rPr>
        <w:t xml:space="preserve"> </w:t>
      </w:r>
      <w:r w:rsidRPr="00881CB0">
        <w:rPr>
          <w:rFonts w:ascii="Garamond" w:hAnsi="Garamond" w:cs="Arial"/>
          <w:sz w:val="28"/>
          <w:szCs w:val="28"/>
          <w:lang w:eastAsia="en-US"/>
        </w:rPr>
        <w:t>i informacji kierownicy jednost</w:t>
      </w:r>
      <w:r w:rsidR="00930981">
        <w:rPr>
          <w:rFonts w:ascii="Garamond" w:hAnsi="Garamond" w:cs="Arial"/>
          <w:sz w:val="28"/>
          <w:szCs w:val="28"/>
          <w:lang w:eastAsia="en-US"/>
        </w:rPr>
        <w:t xml:space="preserve">ek organizacyjnych SW udzielili </w:t>
      </w:r>
      <w:r w:rsidR="007F3722">
        <w:rPr>
          <w:rFonts w:ascii="Garamond" w:hAnsi="Garamond" w:cs="Arial"/>
          <w:sz w:val="28"/>
          <w:szCs w:val="28"/>
          <w:lang w:eastAsia="en-US"/>
        </w:rPr>
        <w:t xml:space="preserve">               </w:t>
      </w:r>
      <w:r w:rsidRPr="00881CB0">
        <w:rPr>
          <w:rFonts w:ascii="Garamond" w:hAnsi="Garamond" w:cs="Arial"/>
          <w:sz w:val="28"/>
          <w:szCs w:val="28"/>
          <w:lang w:eastAsia="en-US"/>
        </w:rPr>
        <w:t>w zakresie tej problematyki 938 razy. Najliczniej podnoszonymi zarzutami w tej grupie były dotyczące niewłaściwego leczenia – 3.383, z czego 2.920 zarzutów osadzeni skierowali do organów Służby Więziennej (8 zarzutów potwierdziło się),                   a w zakresie 463 zarzutów kierownicy jednostek organizacyjnych więziennictwa udzielali informacji i wyjaśnień innym organom uprawnionym do załatwiania skarg.</w:t>
      </w:r>
    </w:p>
    <w:p w:rsidR="00881CB0" w:rsidRPr="00881CB0" w:rsidRDefault="00881CB0" w:rsidP="00930981">
      <w:pPr>
        <w:spacing w:line="360" w:lineRule="auto"/>
        <w:ind w:firstLine="643"/>
        <w:jc w:val="both"/>
        <w:rPr>
          <w:rFonts w:cs="Tahoma"/>
          <w:lang w:eastAsia="en-US"/>
        </w:rPr>
      </w:pPr>
      <w:r w:rsidRPr="00881CB0">
        <w:rPr>
          <w:rFonts w:ascii="Garamond" w:hAnsi="Garamond" w:cs="Arial"/>
          <w:sz w:val="28"/>
          <w:szCs w:val="28"/>
          <w:lang w:eastAsia="en-US"/>
        </w:rPr>
        <w:t xml:space="preserve">9 zarzutów uznano natomiast za uzasadnione z 599 zarzutów skierowanych do organów Służby Więziennej, a dotyczących odmowy skierowania, długiego okresu oczekiwania na zabieg, konsultacje i badania. Do organów zewnętrznych osadzeni podnosili ten zarzut 102 razy. 697 razy osadzeni skarżyli się kierownikom jednostek organizacyjnych SW na traktowanie przez personel medyczny (żaden zarzut nie został uznany za zasadny), a 45 razy kierownicy </w:t>
      </w:r>
      <w:r w:rsidR="00B972E6">
        <w:rPr>
          <w:rFonts w:ascii="Garamond" w:hAnsi="Garamond" w:cs="Arial"/>
          <w:sz w:val="28"/>
          <w:szCs w:val="28"/>
          <w:lang w:eastAsia="en-US"/>
        </w:rPr>
        <w:t xml:space="preserve">ci udzielali informacji        </w:t>
      </w:r>
      <w:r w:rsidRPr="00881CB0">
        <w:rPr>
          <w:rFonts w:ascii="Garamond" w:hAnsi="Garamond" w:cs="Arial"/>
          <w:sz w:val="28"/>
          <w:szCs w:val="28"/>
          <w:lang w:eastAsia="en-US"/>
        </w:rPr>
        <w:t xml:space="preserve">i wyjaśnień organom uprawnionym do załatwiania skarg na podstawie odrębnych przepisów. Na brak leków osadzeni skarżyli się ogółem 573 razy (521 razy podnosili zarzuty do organów SW, w tym 7 uznano za zasadne, 52 razy </w:t>
      </w:r>
      <w:r w:rsidR="00B972E6">
        <w:rPr>
          <w:rFonts w:ascii="Garamond" w:hAnsi="Garamond" w:cs="Arial"/>
          <w:sz w:val="28"/>
          <w:szCs w:val="28"/>
          <w:lang w:eastAsia="en-US"/>
        </w:rPr>
        <w:t xml:space="preserve">udzielano informacji      </w:t>
      </w:r>
      <w:r w:rsidRPr="00881CB0">
        <w:rPr>
          <w:rFonts w:ascii="Garamond" w:hAnsi="Garamond" w:cs="Arial"/>
          <w:sz w:val="28"/>
          <w:szCs w:val="28"/>
          <w:lang w:eastAsia="en-US"/>
        </w:rPr>
        <w:t>i wyjaśnień innym organom). Kierownicy jednostek organizacyjnych więziennictwa uznali również 7 zarzutów spośród zarzutów dotyczących organizacji pracy służby zdrowia. W tym zakresie do organów SW wniesiono 220</w:t>
      </w:r>
      <w:r w:rsidR="00B972E6">
        <w:rPr>
          <w:rFonts w:ascii="Garamond" w:hAnsi="Garamond" w:cs="Arial"/>
          <w:sz w:val="28"/>
          <w:szCs w:val="28"/>
          <w:lang w:eastAsia="en-US"/>
        </w:rPr>
        <w:t xml:space="preserve"> tego typu zarzutów,            </w:t>
      </w:r>
      <w:r w:rsidRPr="00881CB0">
        <w:rPr>
          <w:rFonts w:ascii="Garamond" w:hAnsi="Garamond" w:cs="Arial"/>
          <w:sz w:val="28"/>
          <w:szCs w:val="28"/>
          <w:lang w:eastAsia="en-US"/>
        </w:rPr>
        <w:t>a w przypadku 32 kierownicy udzielali informacji i wyjaśnień.</w:t>
      </w:r>
    </w:p>
    <w:p w:rsidR="00881CB0" w:rsidRPr="00881CB0" w:rsidRDefault="00881CB0" w:rsidP="00930981">
      <w:pPr>
        <w:spacing w:after="120" w:line="276" w:lineRule="auto"/>
        <w:ind w:firstLine="643"/>
        <w:jc w:val="both"/>
        <w:rPr>
          <w:rFonts w:ascii="Garamond" w:hAnsi="Garamond" w:cs="Arial"/>
          <w:sz w:val="28"/>
          <w:szCs w:val="28"/>
          <w:lang w:eastAsia="en-US"/>
        </w:rPr>
      </w:pPr>
      <w:r w:rsidRPr="00881CB0">
        <w:rPr>
          <w:rFonts w:ascii="Garamond" w:hAnsi="Garamond" w:cs="Arial"/>
          <w:sz w:val="28"/>
          <w:szCs w:val="28"/>
          <w:lang w:eastAsia="en-US"/>
        </w:rPr>
        <w:t>Zarzuty zawarte w skargach kierowanych przez osadzonych do organów pozawięziennych przedstawiono w tabeli nr 2.</w:t>
      </w:r>
    </w:p>
    <w:p w:rsidR="00881CB0" w:rsidRPr="00881CB0" w:rsidRDefault="00881CB0" w:rsidP="00A74CC2">
      <w:pPr>
        <w:spacing w:after="120" w:line="276" w:lineRule="auto"/>
        <w:rPr>
          <w:rFonts w:ascii="Arial" w:hAnsi="Arial" w:cs="Arial"/>
          <w:lang w:eastAsia="en-US"/>
        </w:rPr>
      </w:pPr>
    </w:p>
    <w:p w:rsidR="00881CB0" w:rsidRPr="00881CB0" w:rsidRDefault="00881CB0" w:rsidP="00881CB0">
      <w:pPr>
        <w:keepNext/>
        <w:tabs>
          <w:tab w:val="left" w:pos="2836"/>
        </w:tabs>
        <w:jc w:val="both"/>
        <w:outlineLvl w:val="7"/>
        <w:rPr>
          <w:rFonts w:cs="Tahoma"/>
          <w:b/>
          <w:lang w:eastAsia="pl-PL"/>
        </w:rPr>
      </w:pPr>
      <w:bookmarkStart w:id="6" w:name="_Toc485388691"/>
      <w:r w:rsidRPr="00881CB0">
        <w:rPr>
          <w:rFonts w:ascii="Garamond" w:hAnsi="Garamond" w:cs="Arial"/>
          <w:b/>
          <w:lang w:eastAsia="pl-PL"/>
        </w:rPr>
        <w:t>Tabela 2:</w:t>
      </w:r>
      <w:r w:rsidRPr="00881CB0">
        <w:rPr>
          <w:rFonts w:ascii="Garamond" w:hAnsi="Garamond" w:cs="Arial"/>
          <w:lang w:eastAsia="pl-PL"/>
        </w:rPr>
        <w:t xml:space="preserve"> Zestawienie zarzutów zawartych w 2016 r. w skargach przekazanych kierownikom jednostek organizacyjnych Służby Więziennej przez podmioty uprawnione do załatwiania skarg we własnym zakresie w celu udzielenia informacji i wyjaśnień – w porównaniu do roku 2015 r.</w:t>
      </w:r>
      <w:bookmarkEnd w:id="6"/>
    </w:p>
    <w:p w:rsidR="00881CB0" w:rsidRPr="00881CB0" w:rsidRDefault="00881CB0" w:rsidP="00881CB0">
      <w:pPr>
        <w:spacing w:after="200" w:line="276" w:lineRule="auto"/>
        <w:rPr>
          <w:rFonts w:cs="Tahoma"/>
          <w:lang w:eastAsia="en-US"/>
        </w:rPr>
      </w:pPr>
    </w:p>
    <w:p w:rsidR="00881CB0" w:rsidRPr="00881CB0" w:rsidRDefault="00881CB0" w:rsidP="00881CB0">
      <w:pPr>
        <w:spacing w:after="200" w:line="276" w:lineRule="auto"/>
        <w:rPr>
          <w:rFonts w:cs="Tahoma"/>
          <w:lang w:eastAsia="en-US"/>
        </w:rPr>
      </w:pPr>
      <w:r w:rsidRPr="00881CB0">
        <w:rPr>
          <w:rFonts w:cs="Tahoma"/>
          <w:lang w:eastAsia="en-US"/>
        </w:rPr>
        <w:t xml:space="preserve"> </w:t>
      </w:r>
    </w:p>
    <w:p w:rsidR="00881CB0" w:rsidRPr="00881CB0" w:rsidRDefault="00881CB0" w:rsidP="00881CB0">
      <w:pPr>
        <w:spacing w:after="200" w:line="276" w:lineRule="auto"/>
        <w:rPr>
          <w:rFonts w:cs="Tahoma"/>
          <w:lang w:eastAsia="en-US"/>
        </w:rPr>
      </w:pPr>
      <w:r w:rsidRPr="00881CB0">
        <w:rPr>
          <w:rFonts w:cs="Tahoma"/>
          <w:noProof/>
          <w:lang w:eastAsia="pl-PL" w:bidi="ar-SA"/>
        </w:rPr>
        <w:lastRenderedPageBreak/>
        <w:drawing>
          <wp:inline distT="0" distB="0" distL="0" distR="0" wp14:anchorId="24298AE1" wp14:editId="68C197ED">
            <wp:extent cx="5991121" cy="4772162"/>
            <wp:effectExtent l="0" t="0" r="0" b="9388"/>
            <wp:docPr id="8" nam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lum/>
                      <a:alphaModFix/>
                    </a:blip>
                    <a:srcRect/>
                    <a:stretch>
                      <a:fillRect/>
                    </a:stretch>
                  </pic:blipFill>
                  <pic:spPr>
                    <a:xfrm>
                      <a:off x="0" y="0"/>
                      <a:ext cx="5991121" cy="4772162"/>
                    </a:xfrm>
                    <a:prstGeom prst="rect">
                      <a:avLst/>
                    </a:prstGeom>
                    <a:noFill/>
                    <a:ln>
                      <a:noFill/>
                      <a:prstDash/>
                    </a:ln>
                  </pic:spPr>
                </pic:pic>
              </a:graphicData>
            </a:graphic>
          </wp:inline>
        </w:drawing>
      </w:r>
    </w:p>
    <w:p w:rsidR="00881CB0" w:rsidRPr="00EB0B12" w:rsidRDefault="00881CB0" w:rsidP="00881CB0">
      <w:pPr>
        <w:spacing w:after="200" w:line="276" w:lineRule="auto"/>
        <w:rPr>
          <w:rFonts w:cs="Tahoma"/>
          <w:sz w:val="8"/>
          <w:szCs w:val="8"/>
          <w:lang w:eastAsia="en-US"/>
        </w:rPr>
      </w:pPr>
    </w:p>
    <w:p w:rsidR="00881CB0" w:rsidRPr="00881CB0" w:rsidRDefault="00881CB0" w:rsidP="00930981">
      <w:pPr>
        <w:spacing w:line="360" w:lineRule="auto"/>
        <w:ind w:firstLine="708"/>
        <w:jc w:val="both"/>
        <w:rPr>
          <w:rFonts w:ascii="Garamond" w:hAnsi="Garamond" w:cs="Arial"/>
          <w:sz w:val="28"/>
          <w:szCs w:val="28"/>
          <w:lang w:eastAsia="en-US"/>
        </w:rPr>
      </w:pPr>
      <w:r w:rsidRPr="00881CB0">
        <w:rPr>
          <w:rFonts w:ascii="Garamond" w:hAnsi="Garamond" w:cs="Arial"/>
          <w:sz w:val="28"/>
          <w:szCs w:val="28"/>
          <w:lang w:eastAsia="en-US"/>
        </w:rPr>
        <w:t xml:space="preserve">Skargi, na które kierownicy jednostek organizacyjnych Służby Więziennej udzielali wyjaśnień i informacji organom uprawnionym do załatwiania skarg            w sprawach osób pozbawionych wolności, dotyczyły najczęściej traktowania przez funkcjonariuszy i pracowników Służby Więziennej. Tego rodzaju zarzutów </w:t>
      </w:r>
      <w:r w:rsidR="007A3BE7">
        <w:rPr>
          <w:rFonts w:ascii="Garamond" w:hAnsi="Garamond" w:cs="Arial"/>
          <w:sz w:val="28"/>
          <w:szCs w:val="28"/>
          <w:lang w:eastAsia="en-US"/>
        </w:rPr>
        <w:t xml:space="preserve">               </w:t>
      </w:r>
      <w:r w:rsidRPr="00881CB0">
        <w:rPr>
          <w:rFonts w:ascii="Garamond" w:hAnsi="Garamond" w:cs="Arial"/>
          <w:sz w:val="28"/>
          <w:szCs w:val="28"/>
          <w:lang w:eastAsia="en-US"/>
        </w:rPr>
        <w:t>w 2016r. rozpoznano 1.967 (ich ilość wzrosła jednak w stosunku do poprzedniego okresu sprawozdawczego o 6,5%), przy czym wyjaśniano je głównie na potrzeby sądów penitencjarnych (1.440) oraz Rzecznika Praw Obywatelskich (409).</w:t>
      </w:r>
    </w:p>
    <w:p w:rsidR="00881CB0" w:rsidRPr="00881CB0" w:rsidRDefault="00881CB0" w:rsidP="00930981">
      <w:pPr>
        <w:spacing w:line="360" w:lineRule="auto"/>
        <w:ind w:firstLine="708"/>
        <w:jc w:val="both"/>
        <w:rPr>
          <w:rFonts w:ascii="Garamond" w:hAnsi="Garamond" w:cs="Arial"/>
          <w:sz w:val="28"/>
          <w:szCs w:val="28"/>
          <w:lang w:eastAsia="en-US"/>
        </w:rPr>
      </w:pPr>
      <w:r w:rsidRPr="00881CB0">
        <w:rPr>
          <w:rFonts w:ascii="Garamond" w:hAnsi="Garamond" w:cs="Arial"/>
          <w:sz w:val="28"/>
          <w:szCs w:val="28"/>
          <w:lang w:eastAsia="en-US"/>
        </w:rPr>
        <w:t>Największy spadek liczby podnoszonych zarzutów składanych organom zewnętrznym odnotowano wśród zarzutów dotyczących traktowania przez współosadzonych (o 35,64%), zapoznawania z opiniami i udostępniania dokumentacji (o 29,32%), przepustek (o 28,01%).</w:t>
      </w:r>
    </w:p>
    <w:p w:rsidR="00881CB0" w:rsidRPr="00881CB0" w:rsidRDefault="00881CB0" w:rsidP="00930981">
      <w:pPr>
        <w:spacing w:line="360" w:lineRule="auto"/>
        <w:ind w:firstLine="708"/>
        <w:jc w:val="both"/>
        <w:rPr>
          <w:rFonts w:cs="Tahoma"/>
          <w:lang w:eastAsia="en-US"/>
        </w:rPr>
      </w:pPr>
      <w:r w:rsidRPr="00881CB0">
        <w:rPr>
          <w:rFonts w:ascii="Garamond" w:hAnsi="Garamond" w:cs="Arial"/>
          <w:sz w:val="28"/>
          <w:szCs w:val="28"/>
          <w:lang w:eastAsia="en-US"/>
        </w:rPr>
        <w:t xml:space="preserve">Przedmiot wniosków zawierał się natomiast najczęściej w przedstawieniu przez wnoszących swojego pomysłu, który – ich zdaniem – mógłby wpłynąć na jakość działania organów Służby Więziennej wszystkich szczebli. Wnoszący </w:t>
      </w:r>
      <w:r w:rsidRPr="00881CB0">
        <w:rPr>
          <w:rFonts w:ascii="Garamond" w:hAnsi="Garamond" w:cs="Arial"/>
          <w:sz w:val="28"/>
          <w:szCs w:val="28"/>
          <w:lang w:eastAsia="en-US"/>
        </w:rPr>
        <w:lastRenderedPageBreak/>
        <w:t>przedstawiali także swoje koncepcje usprawnienia funkcjonowania administracji zakładów i aresztów śledczych. Przykładem jednego z wniosków może być plan wprowadzenia we wszystkich jednostkach podstawowych jednolicie brzmiących porządków wewnętrznych.</w:t>
      </w:r>
    </w:p>
    <w:p w:rsidR="00881CB0" w:rsidRPr="00881CB0" w:rsidRDefault="00881CB0" w:rsidP="00A74CC2">
      <w:pPr>
        <w:spacing w:after="120" w:line="276" w:lineRule="auto"/>
        <w:rPr>
          <w:rFonts w:ascii="Arial" w:hAnsi="Arial" w:cs="Arial"/>
          <w:szCs w:val="26"/>
          <w:lang w:eastAsia="en-US"/>
        </w:rPr>
      </w:pPr>
    </w:p>
    <w:p w:rsidR="00881CB0" w:rsidRPr="00881CB0" w:rsidRDefault="00881CB0" w:rsidP="00881CB0">
      <w:pPr>
        <w:keepNext/>
        <w:tabs>
          <w:tab w:val="left" w:pos="2836"/>
        </w:tabs>
        <w:jc w:val="both"/>
        <w:outlineLvl w:val="0"/>
        <w:rPr>
          <w:rFonts w:ascii="Garamond" w:hAnsi="Garamond" w:cs="Arial"/>
          <w:b/>
          <w:sz w:val="28"/>
          <w:szCs w:val="28"/>
          <w:lang w:eastAsia="pl-PL"/>
        </w:rPr>
      </w:pPr>
      <w:bookmarkStart w:id="7" w:name="_Toc485388666"/>
      <w:r w:rsidRPr="00881CB0">
        <w:rPr>
          <w:rFonts w:ascii="Garamond" w:hAnsi="Garamond" w:cs="Arial"/>
          <w:b/>
          <w:sz w:val="28"/>
          <w:szCs w:val="28"/>
          <w:lang w:eastAsia="pl-PL"/>
        </w:rPr>
        <w:t>4. Przyjęcia interesantów przez kierowników jednostek organizacyjnych Służby Więziennej</w:t>
      </w:r>
      <w:bookmarkEnd w:id="7"/>
    </w:p>
    <w:p w:rsidR="00881CB0" w:rsidRPr="00881CB0" w:rsidRDefault="00881CB0" w:rsidP="00930981">
      <w:pPr>
        <w:spacing w:after="120" w:line="276" w:lineRule="auto"/>
        <w:rPr>
          <w:rFonts w:cs="Tahoma"/>
          <w:lang w:eastAsia="pl-PL"/>
        </w:rPr>
      </w:pPr>
    </w:p>
    <w:p w:rsidR="00881CB0" w:rsidRPr="00881CB0" w:rsidRDefault="00881CB0" w:rsidP="00930981">
      <w:pPr>
        <w:spacing w:line="360" w:lineRule="auto"/>
        <w:ind w:firstLine="708"/>
        <w:jc w:val="both"/>
        <w:rPr>
          <w:rFonts w:cs="Tahoma"/>
          <w:lang w:eastAsia="en-US"/>
        </w:rPr>
      </w:pPr>
      <w:r w:rsidRPr="00881CB0">
        <w:rPr>
          <w:rFonts w:ascii="Garamond" w:hAnsi="Garamond" w:cs="Arial"/>
          <w:color w:val="000000"/>
          <w:sz w:val="28"/>
          <w:szCs w:val="28"/>
          <w:lang w:eastAsia="en-US"/>
        </w:rPr>
        <w:t>W 2016 r. przyjęto w więziennictwie ogółem 5.251 interesantów w sprawach dotyczących osób pozbawionych wolności (6.815 w 2015 r.).</w:t>
      </w:r>
    </w:p>
    <w:p w:rsidR="00881CB0" w:rsidRPr="00881CB0" w:rsidRDefault="00881CB0" w:rsidP="00930981">
      <w:pPr>
        <w:spacing w:line="360" w:lineRule="auto"/>
        <w:ind w:firstLine="708"/>
        <w:jc w:val="both"/>
        <w:rPr>
          <w:rFonts w:ascii="Garamond" w:hAnsi="Garamond" w:cs="Arial"/>
          <w:color w:val="000000"/>
          <w:sz w:val="28"/>
          <w:szCs w:val="28"/>
          <w:lang w:eastAsia="en-US"/>
        </w:rPr>
      </w:pPr>
      <w:r w:rsidRPr="00881CB0">
        <w:rPr>
          <w:rFonts w:ascii="Garamond" w:hAnsi="Garamond" w:cs="Arial"/>
          <w:color w:val="000000"/>
          <w:sz w:val="28"/>
          <w:szCs w:val="28"/>
          <w:lang w:eastAsia="en-US"/>
        </w:rPr>
        <w:t>Najczęściej zwracano się do dyrektorów zakładów karnych i aresztów śledczych, którzy przyjęli łącznie 5.098 osób, podczas gdy dyrektorzy okręgowi Służby Więziennej przyjęli 74 osób.</w:t>
      </w:r>
    </w:p>
    <w:p w:rsidR="00881CB0" w:rsidRPr="00881CB0" w:rsidRDefault="00881CB0" w:rsidP="00930981">
      <w:pPr>
        <w:spacing w:line="360" w:lineRule="auto"/>
        <w:ind w:firstLine="708"/>
        <w:jc w:val="both"/>
        <w:rPr>
          <w:rFonts w:ascii="Garamond" w:hAnsi="Garamond" w:cs="Arial"/>
          <w:color w:val="000000"/>
          <w:sz w:val="28"/>
          <w:szCs w:val="28"/>
          <w:lang w:eastAsia="en-US"/>
        </w:rPr>
      </w:pPr>
      <w:r w:rsidRPr="00881CB0">
        <w:rPr>
          <w:rFonts w:ascii="Garamond" w:hAnsi="Garamond" w:cs="Arial"/>
          <w:color w:val="000000"/>
          <w:sz w:val="28"/>
          <w:szCs w:val="28"/>
          <w:lang w:eastAsia="en-US"/>
        </w:rPr>
        <w:t>Pozostali funkcjonariusze jednostek organizacyjnych Służby Więziennej przyjęli 904 interesantów, w tym 825 – w jednostkach podstawowych, 43 –               w okręgowych inspektoratach oraz 36 – w Centralnym Zarządzie Służby Więziennej.</w:t>
      </w:r>
    </w:p>
    <w:p w:rsidR="00881CB0" w:rsidRPr="00881CB0" w:rsidRDefault="00881CB0" w:rsidP="00930981">
      <w:pPr>
        <w:spacing w:line="360" w:lineRule="auto"/>
        <w:jc w:val="both"/>
        <w:rPr>
          <w:rFonts w:ascii="Garamond" w:hAnsi="Garamond" w:cs="Arial"/>
          <w:color w:val="000000"/>
          <w:sz w:val="28"/>
          <w:szCs w:val="28"/>
          <w:lang w:eastAsia="en-US"/>
        </w:rPr>
      </w:pPr>
    </w:p>
    <w:p w:rsidR="00881CB0" w:rsidRPr="00881CB0" w:rsidRDefault="00881CB0" w:rsidP="00881CB0">
      <w:pPr>
        <w:keepNext/>
        <w:tabs>
          <w:tab w:val="left" w:pos="2836"/>
        </w:tabs>
        <w:spacing w:line="276" w:lineRule="auto"/>
        <w:jc w:val="both"/>
        <w:outlineLvl w:val="0"/>
        <w:rPr>
          <w:rFonts w:ascii="Garamond" w:hAnsi="Garamond" w:cs="Arial"/>
          <w:b/>
          <w:color w:val="000000"/>
          <w:sz w:val="28"/>
          <w:szCs w:val="28"/>
          <w:lang w:eastAsia="pl-PL"/>
        </w:rPr>
      </w:pPr>
      <w:r w:rsidRPr="00881CB0">
        <w:rPr>
          <w:rFonts w:ascii="Garamond" w:hAnsi="Garamond" w:cs="Arial"/>
          <w:b/>
          <w:color w:val="000000"/>
          <w:sz w:val="28"/>
          <w:szCs w:val="28"/>
          <w:lang w:eastAsia="pl-PL"/>
        </w:rPr>
        <w:t xml:space="preserve">5. </w:t>
      </w:r>
      <w:bookmarkStart w:id="8" w:name="_Toc485388667"/>
      <w:r w:rsidRPr="00881CB0">
        <w:rPr>
          <w:rFonts w:ascii="Garamond" w:hAnsi="Garamond" w:cs="Arial"/>
          <w:b/>
          <w:color w:val="000000"/>
          <w:sz w:val="28"/>
          <w:szCs w:val="28"/>
          <w:lang w:eastAsia="pl-PL"/>
        </w:rPr>
        <w:t>Skargi załatwione pozytywnie w wyniku stwierdzonych błędów bądź uchybień i podjęte w tym zakresie działania</w:t>
      </w:r>
      <w:bookmarkEnd w:id="8"/>
    </w:p>
    <w:p w:rsidR="00881CB0" w:rsidRPr="00881CB0" w:rsidRDefault="00881CB0" w:rsidP="00930981">
      <w:pPr>
        <w:spacing w:after="120" w:line="276" w:lineRule="auto"/>
        <w:rPr>
          <w:rFonts w:cs="Tahoma"/>
          <w:lang w:eastAsia="pl-PL"/>
        </w:rPr>
      </w:pPr>
    </w:p>
    <w:p w:rsidR="00881CB0" w:rsidRPr="00881CB0" w:rsidRDefault="00881CB0" w:rsidP="00881CB0">
      <w:pPr>
        <w:keepNext/>
        <w:tabs>
          <w:tab w:val="left" w:pos="2836"/>
        </w:tabs>
        <w:spacing w:line="276" w:lineRule="auto"/>
        <w:jc w:val="both"/>
        <w:outlineLvl w:val="1"/>
        <w:rPr>
          <w:rFonts w:cs="Tahoma"/>
          <w:b/>
          <w:sz w:val="36"/>
          <w:lang w:eastAsia="pl-PL"/>
        </w:rPr>
      </w:pPr>
      <w:bookmarkStart w:id="9" w:name="_Toc485388668"/>
      <w:bookmarkStart w:id="10" w:name="__RefHeading__3466_933653961"/>
      <w:r w:rsidRPr="00881CB0">
        <w:rPr>
          <w:rFonts w:ascii="Garamond" w:hAnsi="Garamond" w:cs="Arial"/>
          <w:b/>
          <w:color w:val="000000"/>
          <w:sz w:val="28"/>
          <w:lang w:eastAsia="pl-PL"/>
        </w:rPr>
        <w:t>5.1. Przykłady skarg uznanych za zasadne</w:t>
      </w:r>
      <w:r w:rsidRPr="00881CB0">
        <w:rPr>
          <w:rFonts w:ascii="Garamond" w:hAnsi="Garamond" w:cs="Arial"/>
          <w:color w:val="000000"/>
          <w:sz w:val="28"/>
          <w:lang w:eastAsia="pl-PL"/>
        </w:rPr>
        <w:t xml:space="preserve"> </w:t>
      </w:r>
      <w:r w:rsidRPr="00881CB0">
        <w:rPr>
          <w:rFonts w:ascii="Garamond" w:hAnsi="Garamond" w:cs="Arial"/>
          <w:b/>
          <w:color w:val="000000"/>
          <w:sz w:val="28"/>
          <w:lang w:eastAsia="pl-PL"/>
        </w:rPr>
        <w:t>przez Centralny Zarząd Służby Więziennej w zakresie rozpatrzenia ich przez dyrektorów okręgowych Służby Więziennej (SZS-002)</w:t>
      </w:r>
      <w:bookmarkEnd w:id="9"/>
      <w:bookmarkEnd w:id="10"/>
    </w:p>
    <w:p w:rsidR="00881CB0" w:rsidRPr="00881CB0" w:rsidRDefault="00881CB0" w:rsidP="00930981">
      <w:pPr>
        <w:spacing w:after="120" w:line="276" w:lineRule="auto"/>
        <w:rPr>
          <w:rFonts w:cs="Tahoma"/>
          <w:lang w:eastAsia="pl-PL"/>
        </w:rPr>
      </w:pPr>
    </w:p>
    <w:p w:rsidR="00881CB0" w:rsidRPr="00881CB0" w:rsidRDefault="00881CB0" w:rsidP="00930981">
      <w:pPr>
        <w:spacing w:line="360" w:lineRule="auto"/>
        <w:jc w:val="both"/>
        <w:rPr>
          <w:rFonts w:ascii="Garamond" w:hAnsi="Garamond" w:cs="Tahoma"/>
          <w:sz w:val="28"/>
          <w:szCs w:val="28"/>
          <w:lang w:eastAsia="en-US"/>
        </w:rPr>
      </w:pPr>
      <w:r w:rsidRPr="00881CB0">
        <w:rPr>
          <w:rFonts w:ascii="Garamond" w:hAnsi="Garamond" w:cs="Tahoma"/>
          <w:sz w:val="28"/>
          <w:szCs w:val="28"/>
          <w:lang w:eastAsia="en-US"/>
        </w:rPr>
        <w:t>- Dyrektor Generalny Służby Więziennej uznał za zasadną skargę kwestionującą stanowisko dyrektora okręgowego Służby Więziennej w związku ze stwierdzeniem nieprawidłowości polegającej na niezapewnieniu skarżącemu zleconej przez lekarza – podczas pobytu w zakładzie karnym - diety lekkostrawnej, w pierwszych dniach po przetransportowaniu, pomimo widniejących w dokumentacji medycznej oraz bazie danych Noe.NET informacji o jej stosowaniu;</w:t>
      </w:r>
    </w:p>
    <w:p w:rsidR="00881CB0" w:rsidRPr="00881CB0" w:rsidRDefault="00881CB0" w:rsidP="00930981">
      <w:pPr>
        <w:spacing w:line="360" w:lineRule="auto"/>
        <w:jc w:val="both"/>
        <w:rPr>
          <w:rFonts w:cs="Tahoma"/>
          <w:lang w:eastAsia="en-US"/>
        </w:rPr>
      </w:pPr>
      <w:r w:rsidRPr="00881CB0">
        <w:rPr>
          <w:rFonts w:ascii="Garamond" w:eastAsia="Times New Roman" w:hAnsi="Garamond" w:cs="Arial"/>
          <w:sz w:val="28"/>
          <w:szCs w:val="28"/>
          <w:lang w:eastAsia="en-US"/>
        </w:rPr>
        <w:t xml:space="preserve">- Centralny Zarząd Służby Więziennej uznał za zasadną skargę osadzonego            w zakresie braku odpowiedzi na skargę. Dyrektor okręgowy Służby Więziennej </w:t>
      </w:r>
      <w:r w:rsidRPr="00881CB0">
        <w:rPr>
          <w:rFonts w:ascii="Garamond" w:eastAsia="Times New Roman" w:hAnsi="Garamond" w:cs="Arial"/>
          <w:sz w:val="28"/>
          <w:szCs w:val="28"/>
          <w:lang w:eastAsia="en-US"/>
        </w:rPr>
        <w:lastRenderedPageBreak/>
        <w:t>skierował na adres pobytu skarżącego stanowisko w sprawie rozpoznawanych zarzutów i przedmiotowa korespondencja wpłynęła do jednostki penitencjarnej, jednakże z winy funkcjonariusza tej jednostki nie została skutecznie doręczona osadzonemu;</w:t>
      </w:r>
    </w:p>
    <w:p w:rsidR="00881CB0" w:rsidRPr="00881CB0" w:rsidRDefault="00881CB0" w:rsidP="00930981">
      <w:pPr>
        <w:spacing w:line="360" w:lineRule="auto"/>
        <w:jc w:val="both"/>
        <w:rPr>
          <w:rFonts w:ascii="Garamond" w:eastAsia="Times New Roman" w:hAnsi="Garamond" w:cs="Arial"/>
          <w:sz w:val="28"/>
          <w:szCs w:val="28"/>
          <w:lang w:eastAsia="en-US"/>
        </w:rPr>
      </w:pPr>
      <w:r w:rsidRPr="00881CB0">
        <w:rPr>
          <w:rFonts w:ascii="Garamond" w:eastAsia="Times New Roman" w:hAnsi="Garamond" w:cs="Arial"/>
          <w:sz w:val="28"/>
          <w:szCs w:val="28"/>
          <w:lang w:eastAsia="en-US"/>
        </w:rPr>
        <w:t>- Centralny Zarząd Służby Więziennej uznał za zasadną skargę osoby fizycznej        w zakresie nieprawidłowego po</w:t>
      </w:r>
      <w:r w:rsidR="007A3BE7">
        <w:rPr>
          <w:rFonts w:ascii="Garamond" w:eastAsia="Times New Roman" w:hAnsi="Garamond" w:cs="Arial"/>
          <w:sz w:val="28"/>
          <w:szCs w:val="28"/>
          <w:lang w:eastAsia="en-US"/>
        </w:rPr>
        <w:t>stępowania</w:t>
      </w:r>
      <w:r w:rsidRPr="00881CB0">
        <w:rPr>
          <w:rFonts w:ascii="Garamond" w:eastAsia="Times New Roman" w:hAnsi="Garamond" w:cs="Arial"/>
          <w:sz w:val="28"/>
          <w:szCs w:val="28"/>
          <w:lang w:eastAsia="en-US"/>
        </w:rPr>
        <w:t xml:space="preserve"> służby zdrowia aresztu śledczego           w kwestii cedowania na rodzinę osoby osadzonej w jednostce penitencjarnej kosztów zakupu leków oraz niewłaściwego wydawania leków;</w:t>
      </w:r>
    </w:p>
    <w:p w:rsidR="00881CB0" w:rsidRPr="00881CB0" w:rsidRDefault="00881CB0" w:rsidP="00930981">
      <w:pPr>
        <w:spacing w:line="360" w:lineRule="auto"/>
        <w:jc w:val="both"/>
        <w:rPr>
          <w:rFonts w:cs="Tahoma"/>
          <w:lang w:eastAsia="en-US"/>
        </w:rPr>
      </w:pPr>
      <w:r w:rsidRPr="00881CB0">
        <w:rPr>
          <w:rFonts w:ascii="Garamond" w:eastAsia="Times New Roman" w:hAnsi="Garamond" w:cs="Arial"/>
          <w:sz w:val="28"/>
          <w:szCs w:val="28"/>
          <w:lang w:eastAsia="en-US"/>
        </w:rPr>
        <w:t>- Centralny Zarząd Służby Więziennej uznał za zasadny zarzut</w:t>
      </w:r>
      <w:r w:rsidRPr="00881CB0">
        <w:rPr>
          <w:rFonts w:ascii="Garamond" w:hAnsi="Garamond" w:cs="Arial"/>
          <w:sz w:val="28"/>
          <w:szCs w:val="28"/>
          <w:lang w:eastAsia="en-US"/>
        </w:rPr>
        <w:t xml:space="preserve"> nie odniesienia </w:t>
      </w:r>
      <w:r w:rsidR="007F3722">
        <w:rPr>
          <w:rFonts w:ascii="Garamond" w:hAnsi="Garamond" w:cs="Arial"/>
          <w:sz w:val="28"/>
          <w:szCs w:val="28"/>
          <w:lang w:eastAsia="en-US"/>
        </w:rPr>
        <w:t xml:space="preserve">     </w:t>
      </w:r>
      <w:r w:rsidRPr="00881CB0">
        <w:rPr>
          <w:rFonts w:ascii="Garamond" w:hAnsi="Garamond" w:cs="Arial"/>
          <w:sz w:val="28"/>
          <w:szCs w:val="28"/>
          <w:lang w:eastAsia="en-US"/>
        </w:rPr>
        <w:t>się przez dyrektora okręgowego Służby Więziennej do zawartej w treści rozpatrywanej przez niego skargi prośby w przedmiocie przetransportowania skarżącego do innej jednostki penitencjarnej</w:t>
      </w:r>
      <w:r w:rsidRPr="00881CB0">
        <w:rPr>
          <w:rFonts w:ascii="Garamond" w:hAnsi="Garamond" w:cs="Tahoma"/>
          <w:sz w:val="28"/>
          <w:szCs w:val="28"/>
          <w:lang w:eastAsia="en-US"/>
        </w:rPr>
        <w:t>;</w:t>
      </w:r>
    </w:p>
    <w:p w:rsidR="00881CB0" w:rsidRPr="00881CB0" w:rsidRDefault="00881CB0" w:rsidP="00930981">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Dyrektor Generalny Służby Więziennej uznał za zasadną skargę osadzonego kwestionująca stanowisko dyrektora okręgowego Służby Więziennej </w:t>
      </w:r>
      <w:r w:rsidR="00930981">
        <w:rPr>
          <w:rFonts w:ascii="Garamond" w:hAnsi="Garamond" w:cs="Arial"/>
          <w:sz w:val="28"/>
          <w:szCs w:val="28"/>
          <w:lang w:eastAsia="en-US"/>
        </w:rPr>
        <w:br/>
      </w:r>
      <w:r w:rsidRPr="00881CB0">
        <w:rPr>
          <w:rFonts w:ascii="Garamond" w:hAnsi="Garamond" w:cs="Arial"/>
          <w:sz w:val="28"/>
          <w:szCs w:val="28"/>
          <w:lang w:eastAsia="en-US"/>
        </w:rPr>
        <w:t xml:space="preserve">w związku ze stwierdzeniem nieprawidłowości w postępowaniu administracji jednostki penitencjarnej, polegających na niewykonaniu skarżącemu </w:t>
      </w:r>
      <w:r w:rsidR="0008521A">
        <w:rPr>
          <w:rFonts w:ascii="Garamond" w:hAnsi="Garamond" w:cs="Arial"/>
          <w:sz w:val="28"/>
          <w:szCs w:val="28"/>
          <w:lang w:eastAsia="en-US"/>
        </w:rPr>
        <w:t xml:space="preserve">                              </w:t>
      </w:r>
      <w:r w:rsidRPr="00881CB0">
        <w:rPr>
          <w:rFonts w:ascii="Garamond" w:hAnsi="Garamond" w:cs="Arial"/>
          <w:sz w:val="28"/>
          <w:szCs w:val="28"/>
          <w:lang w:eastAsia="en-US"/>
        </w:rPr>
        <w:t>w wyznaczonym terminie badania radiologicznego łokcia prawego oraz niezaleceniu umieszczenia go na „dolnym” łóżku;</w:t>
      </w:r>
    </w:p>
    <w:p w:rsidR="00881CB0" w:rsidRPr="00881CB0" w:rsidRDefault="00881CB0" w:rsidP="00930981">
      <w:pPr>
        <w:spacing w:line="360" w:lineRule="auto"/>
        <w:jc w:val="both"/>
        <w:rPr>
          <w:rFonts w:cs="Tahoma"/>
          <w:lang w:eastAsia="en-US"/>
        </w:rPr>
      </w:pPr>
      <w:r w:rsidRPr="00881CB0">
        <w:rPr>
          <w:rFonts w:ascii="Garamond" w:eastAsia="Times New Roman" w:hAnsi="Garamond" w:cs="Arial"/>
          <w:sz w:val="28"/>
          <w:szCs w:val="28"/>
          <w:lang w:eastAsia="en-US"/>
        </w:rPr>
        <w:t xml:space="preserve">- Dyrektor Generalny Służby Więziennej uznał za zasadną skargę osadzonego          w zakresie kwestionowanych przez niego treści zapisów porządku wewnętrznego aresztu śledczego dopuszczających używanie, w porze dziennej, wyrobów tytoniowych w celach mieszkalnych oddziału półotwartego. Wnoszący skargę, będąc osobą niepalącą, uskarżał się na szkodliwy wpływ dymu tytoniowego </w:t>
      </w:r>
      <w:r w:rsidR="007F3722">
        <w:rPr>
          <w:rFonts w:ascii="Garamond" w:eastAsia="Times New Roman" w:hAnsi="Garamond" w:cs="Arial"/>
          <w:sz w:val="28"/>
          <w:szCs w:val="28"/>
          <w:lang w:eastAsia="en-US"/>
        </w:rPr>
        <w:t xml:space="preserve">          </w:t>
      </w:r>
      <w:r w:rsidRPr="00881CB0">
        <w:rPr>
          <w:rFonts w:ascii="Garamond" w:eastAsia="Times New Roman" w:hAnsi="Garamond" w:cs="Arial"/>
          <w:sz w:val="28"/>
          <w:szCs w:val="28"/>
          <w:lang w:eastAsia="en-US"/>
        </w:rPr>
        <w:t>na</w:t>
      </w:r>
      <w:r w:rsidRPr="00881CB0">
        <w:rPr>
          <w:rFonts w:ascii="Arial" w:eastAsia="Times New Roman" w:hAnsi="Arial" w:cs="Arial"/>
          <w:lang w:eastAsia="en-US"/>
        </w:rPr>
        <w:t xml:space="preserve"> </w:t>
      </w:r>
      <w:r w:rsidRPr="00881CB0">
        <w:rPr>
          <w:rFonts w:ascii="Garamond" w:eastAsia="Times New Roman" w:hAnsi="Garamond" w:cs="Arial"/>
          <w:sz w:val="28"/>
          <w:szCs w:val="28"/>
          <w:lang w:eastAsia="en-US"/>
        </w:rPr>
        <w:t>własne zdrowie;</w:t>
      </w:r>
    </w:p>
    <w:p w:rsidR="00881CB0" w:rsidRPr="00881CB0" w:rsidRDefault="000D1586" w:rsidP="00930981">
      <w:pPr>
        <w:spacing w:line="360" w:lineRule="auto"/>
        <w:jc w:val="both"/>
        <w:rPr>
          <w:rFonts w:cs="Tahoma"/>
          <w:lang w:eastAsia="en-US"/>
        </w:rPr>
      </w:pPr>
      <w:r>
        <w:rPr>
          <w:rFonts w:ascii="Garamond" w:eastAsia="Times New Roman" w:hAnsi="Garamond" w:cs="Arial"/>
          <w:sz w:val="28"/>
          <w:szCs w:val="28"/>
          <w:lang w:eastAsia="en-US"/>
        </w:rPr>
        <w:t xml:space="preserve">- </w:t>
      </w:r>
      <w:r w:rsidR="00881CB0" w:rsidRPr="00881CB0">
        <w:rPr>
          <w:rFonts w:ascii="Garamond" w:eastAsia="Times New Roman" w:hAnsi="Garamond" w:cs="Arial"/>
          <w:sz w:val="28"/>
          <w:szCs w:val="28"/>
          <w:lang w:eastAsia="en-US"/>
        </w:rPr>
        <w:t>Centralny Zarząd Służby Więziennej uznał za zasadny zarzut niewyrażenia osadzonemu zgody na zakup produktów bezglutenowych, nieznajdujących się          w asortymencie kantyny. Administracja jednostki penitencjarnej, zgodnie z § 14 ust.</w:t>
      </w:r>
      <w:r w:rsidR="00881CB0" w:rsidRPr="00881CB0">
        <w:rPr>
          <w:rFonts w:ascii="Garamond" w:eastAsia="Times New Roman" w:hAnsi="Garamond" w:cs="Arial"/>
          <w:i/>
          <w:sz w:val="28"/>
          <w:szCs w:val="28"/>
          <w:lang w:eastAsia="en-US"/>
        </w:rPr>
        <w:t xml:space="preserve"> </w:t>
      </w:r>
      <w:r w:rsidR="00881CB0" w:rsidRPr="00881CB0">
        <w:rPr>
          <w:rFonts w:ascii="Garamond" w:eastAsia="Times New Roman" w:hAnsi="Garamond" w:cs="Arial"/>
          <w:sz w:val="28"/>
          <w:szCs w:val="28"/>
          <w:lang w:eastAsia="en-US"/>
        </w:rPr>
        <w:t>2 pkt 12 rozporządzenia Ministra Sprawiedliwości z dnia 25.08.2003 r.</w:t>
      </w:r>
      <w:r w:rsidR="00881CB0" w:rsidRPr="00881CB0">
        <w:rPr>
          <w:rFonts w:ascii="Garamond" w:eastAsia="Times New Roman" w:hAnsi="Garamond" w:cs="Arial"/>
          <w:i/>
          <w:sz w:val="28"/>
          <w:szCs w:val="28"/>
          <w:lang w:eastAsia="en-US"/>
        </w:rPr>
        <w:t xml:space="preserve"> w sprawie regulaminu organizacyjno – porządkowego wykonywania kary pozbawienia wolności, </w:t>
      </w:r>
      <w:r w:rsidR="00881CB0" w:rsidRPr="00881CB0">
        <w:rPr>
          <w:rFonts w:ascii="Garamond" w:eastAsia="Times New Roman" w:hAnsi="Garamond" w:cs="Arial"/>
          <w:sz w:val="28"/>
          <w:szCs w:val="28"/>
          <w:lang w:eastAsia="en-US"/>
        </w:rPr>
        <w:t xml:space="preserve">winna stworzyć osadzonym możliwości zakupu produktów innych niż znajdujące się                           w asortymencie kantyny. Uzasadnienie decyzji odmownej dyrektora zakładu </w:t>
      </w:r>
      <w:r w:rsidR="00881CB0" w:rsidRPr="00881CB0">
        <w:rPr>
          <w:rFonts w:ascii="Garamond" w:eastAsia="Times New Roman" w:hAnsi="Garamond" w:cs="Arial"/>
          <w:sz w:val="28"/>
          <w:szCs w:val="28"/>
          <w:lang w:eastAsia="en-US"/>
        </w:rPr>
        <w:lastRenderedPageBreak/>
        <w:t>karnego w zakresie odmowy zakupu chleba i wędlin było nieprawidłowe;</w:t>
      </w:r>
    </w:p>
    <w:p w:rsidR="00881CB0" w:rsidRPr="00881CB0" w:rsidRDefault="00881CB0" w:rsidP="00930981">
      <w:pPr>
        <w:spacing w:line="360" w:lineRule="auto"/>
        <w:jc w:val="both"/>
        <w:rPr>
          <w:rFonts w:cs="Tahoma"/>
          <w:lang w:eastAsia="en-US"/>
        </w:rPr>
      </w:pPr>
      <w:r w:rsidRPr="00881CB0">
        <w:rPr>
          <w:rFonts w:ascii="Garamond" w:eastAsia="Times New Roman" w:hAnsi="Garamond" w:cs="Arial"/>
          <w:sz w:val="28"/>
          <w:szCs w:val="28"/>
          <w:lang w:eastAsia="en-US"/>
        </w:rPr>
        <w:t xml:space="preserve">- Centralny Zarząd Służby Więziennej uznał za zasadny zarzut dotyczący niesłusznego wymierzenia osadzonemu kary dyscyplinarnej. Jak ustalono, administracja zakładu karnego w sposób nieobiektywny przeprowadziła czynności wyjaśniające przebieg zaistniałego zdarzenia z udziałem skarżącego. Analiza zapisu monitoringu z placu spacerowego nie potwierdziła opisanego w sprawozdaniu            z czynności wyjaśniających stanu faktycznego. Dodatkowo, wyjaśniając sprawę zignorowano wpis, który potwierdzał wersję przedstawioną przez skarżącego. </w:t>
      </w:r>
      <w:r w:rsidR="0008521A">
        <w:rPr>
          <w:rFonts w:ascii="Garamond" w:eastAsia="Times New Roman" w:hAnsi="Garamond" w:cs="Arial"/>
          <w:sz w:val="28"/>
          <w:szCs w:val="28"/>
          <w:lang w:eastAsia="en-US"/>
        </w:rPr>
        <w:t xml:space="preserve">           </w:t>
      </w:r>
      <w:r w:rsidRPr="00881CB0">
        <w:rPr>
          <w:rFonts w:ascii="Garamond" w:eastAsia="Times New Roman" w:hAnsi="Garamond" w:cs="Arial"/>
          <w:sz w:val="28"/>
          <w:szCs w:val="28"/>
          <w:lang w:eastAsia="en-US"/>
        </w:rPr>
        <w:t>Brak należytej staranności jednostki penitencjarnej, przy wyjaśnianiu przyczyn zdarzenia, skutkował uznaniem skarżącego winnym i wymierzen</w:t>
      </w:r>
      <w:r w:rsidR="00D97C0A">
        <w:rPr>
          <w:rFonts w:ascii="Garamond" w:eastAsia="Times New Roman" w:hAnsi="Garamond" w:cs="Arial"/>
          <w:sz w:val="28"/>
          <w:szCs w:val="28"/>
          <w:lang w:eastAsia="en-US"/>
        </w:rPr>
        <w:t xml:space="preserve">iem mu kary dyscyplinarnej, </w:t>
      </w:r>
      <w:r w:rsidRPr="00881CB0">
        <w:rPr>
          <w:rFonts w:ascii="Garamond" w:eastAsia="Times New Roman" w:hAnsi="Garamond" w:cs="Arial"/>
          <w:sz w:val="28"/>
          <w:szCs w:val="28"/>
          <w:lang w:eastAsia="en-US"/>
        </w:rPr>
        <w:t>a w dalszej kolejności uznaniem skargi osadzonego za bezzasadną. Centralny Zarząd Służby Więziennej wskazał, iż dążenie do ustalenia prawdy obiektywnej to jedna z najważniejszych zasad prawidłowej procedury skargowej.</w:t>
      </w:r>
    </w:p>
    <w:p w:rsidR="00881CB0" w:rsidRPr="00881CB0" w:rsidRDefault="00881CB0" w:rsidP="00B96E8F">
      <w:pPr>
        <w:spacing w:line="360" w:lineRule="auto"/>
        <w:jc w:val="both"/>
        <w:rPr>
          <w:rFonts w:cs="Tahoma"/>
          <w:lang w:eastAsia="en-US"/>
        </w:rPr>
      </w:pPr>
    </w:p>
    <w:p w:rsidR="00881CB0" w:rsidRDefault="00881CB0" w:rsidP="00BF1AC6">
      <w:pPr>
        <w:keepNext/>
        <w:tabs>
          <w:tab w:val="left" w:pos="2836"/>
        </w:tabs>
        <w:spacing w:line="360" w:lineRule="auto"/>
        <w:jc w:val="both"/>
        <w:outlineLvl w:val="1"/>
        <w:rPr>
          <w:rFonts w:ascii="Garamond" w:hAnsi="Garamond" w:cs="Arial"/>
          <w:b/>
          <w:sz w:val="28"/>
          <w:lang w:eastAsia="pl-PL"/>
        </w:rPr>
      </w:pPr>
      <w:bookmarkStart w:id="11" w:name="_Toc386125894"/>
      <w:bookmarkStart w:id="12" w:name="_Toc485388669"/>
      <w:bookmarkStart w:id="13" w:name="__RefHeading__3468_933653961"/>
      <w:r w:rsidRPr="00881CB0">
        <w:rPr>
          <w:rFonts w:ascii="Garamond" w:hAnsi="Garamond" w:cs="Arial"/>
          <w:b/>
          <w:sz w:val="28"/>
          <w:lang w:eastAsia="pl-PL"/>
        </w:rPr>
        <w:t>5.2. Przykłady skarg uznanych za zasadne przez dyrektorów okręgowych         i podległych im dyrektorów zakładów karnych i aresztów śledczych</w:t>
      </w:r>
      <w:bookmarkEnd w:id="11"/>
      <w:bookmarkEnd w:id="12"/>
      <w:bookmarkEnd w:id="13"/>
    </w:p>
    <w:p w:rsidR="00BF1AC6" w:rsidRPr="00BF1AC6" w:rsidRDefault="00BF1AC6" w:rsidP="00BF1AC6">
      <w:pPr>
        <w:keepNext/>
        <w:tabs>
          <w:tab w:val="left" w:pos="2836"/>
        </w:tabs>
        <w:spacing w:line="360" w:lineRule="auto"/>
        <w:jc w:val="both"/>
        <w:outlineLvl w:val="1"/>
        <w:rPr>
          <w:rFonts w:ascii="Garamond" w:hAnsi="Garamond" w:cs="Arial"/>
          <w:b/>
          <w:sz w:val="16"/>
          <w:szCs w:val="16"/>
          <w:lang w:eastAsia="pl-PL"/>
        </w:rPr>
      </w:pPr>
    </w:p>
    <w:p w:rsidR="00881CB0" w:rsidRPr="00881CB0" w:rsidRDefault="00881CB0" w:rsidP="00881CB0">
      <w:pPr>
        <w:keepNext/>
        <w:tabs>
          <w:tab w:val="left" w:pos="2836"/>
        </w:tabs>
        <w:spacing w:line="360" w:lineRule="auto"/>
        <w:jc w:val="both"/>
        <w:outlineLvl w:val="2"/>
        <w:rPr>
          <w:rFonts w:cs="Tahoma"/>
          <w:b/>
          <w:sz w:val="40"/>
          <w:lang w:eastAsia="pl-PL"/>
        </w:rPr>
      </w:pPr>
      <w:bookmarkStart w:id="14" w:name="_Toc386125896"/>
      <w:bookmarkStart w:id="15" w:name="_Toc485388670"/>
      <w:bookmarkStart w:id="16" w:name="__RefHeading__3470_933653961"/>
      <w:r w:rsidRPr="00881CB0">
        <w:rPr>
          <w:rFonts w:ascii="Garamond" w:hAnsi="Garamond" w:cs="Arial"/>
          <w:b/>
          <w:sz w:val="28"/>
          <w:szCs w:val="28"/>
          <w:lang w:eastAsia="ar-SA"/>
        </w:rPr>
        <w:t>5.2.1. W zakresie opieki zdrowotnej (SOZ)</w:t>
      </w:r>
      <w:bookmarkEnd w:id="14"/>
      <w:bookmarkEnd w:id="15"/>
      <w:bookmarkEnd w:id="16"/>
    </w:p>
    <w:p w:rsidR="00881CB0" w:rsidRPr="00881CB0" w:rsidRDefault="00881CB0" w:rsidP="00B96E8F">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W wyniku przeprowadzonego postępowania wyjaśniającego za zasadną uznano skargę w przedmiocie zbyt długiego oczekiwania na realizację konsultacji lekarskiej.  Ustalono, że osadzony w związku z dolegliwościami, został skierowany na konsultację chirurgiczną w trybie planowanym i do dnia sporządzenia skargi konsultacja nie została zrealizowana. W związku z powyższym administracja aresztu śledczego podjęła działania mające na celu wyeliminowanie ponownego uchybienia poprzez szczegółowe omówienie zaistniałego zdarzenia w dziale służby zdrowia przez kierownika </w:t>
      </w:r>
      <w:r w:rsidR="000D1586">
        <w:rPr>
          <w:rFonts w:ascii="Garamond" w:hAnsi="Garamond" w:cs="Arial"/>
          <w:sz w:val="28"/>
          <w:szCs w:val="28"/>
          <w:lang w:eastAsia="en-US"/>
        </w:rPr>
        <w:t xml:space="preserve">tego </w:t>
      </w:r>
      <w:r w:rsidRPr="00881CB0">
        <w:rPr>
          <w:rFonts w:ascii="Garamond" w:hAnsi="Garamond" w:cs="Arial"/>
          <w:sz w:val="28"/>
          <w:szCs w:val="28"/>
          <w:lang w:eastAsia="en-US"/>
        </w:rPr>
        <w:t>działu, na odprawie kierownictwa oraz odprawie penitencjarno</w:t>
      </w:r>
      <w:r w:rsidR="007A3BE7">
        <w:rPr>
          <w:rFonts w:ascii="Garamond" w:hAnsi="Garamond" w:cs="Arial"/>
          <w:sz w:val="28"/>
          <w:szCs w:val="28"/>
          <w:lang w:eastAsia="en-US"/>
        </w:rPr>
        <w:t xml:space="preserve"> </w:t>
      </w:r>
      <w:r w:rsidRPr="00881CB0">
        <w:rPr>
          <w:rFonts w:ascii="Garamond" w:hAnsi="Garamond" w:cs="Arial"/>
          <w:sz w:val="28"/>
          <w:szCs w:val="28"/>
          <w:lang w:eastAsia="en-US"/>
        </w:rPr>
        <w:t>–</w:t>
      </w:r>
      <w:r w:rsidR="007A3BE7">
        <w:rPr>
          <w:rFonts w:ascii="Garamond" w:hAnsi="Garamond" w:cs="Arial"/>
          <w:sz w:val="28"/>
          <w:szCs w:val="28"/>
          <w:lang w:eastAsia="en-US"/>
        </w:rPr>
        <w:t xml:space="preserve"> </w:t>
      </w:r>
      <w:r w:rsidRPr="00881CB0">
        <w:rPr>
          <w:rFonts w:ascii="Garamond" w:hAnsi="Garamond" w:cs="Arial"/>
          <w:sz w:val="28"/>
          <w:szCs w:val="28"/>
          <w:lang w:eastAsia="en-US"/>
        </w:rPr>
        <w:t>ochronnej;</w:t>
      </w:r>
    </w:p>
    <w:p w:rsidR="00881CB0" w:rsidRPr="00881CB0" w:rsidRDefault="00881CB0" w:rsidP="00B96E8F">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Dyre</w:t>
      </w:r>
      <w:r w:rsidR="000D1586">
        <w:rPr>
          <w:rFonts w:ascii="Garamond" w:hAnsi="Garamond" w:cs="Arial"/>
          <w:sz w:val="28"/>
          <w:szCs w:val="28"/>
          <w:lang w:eastAsia="en-US"/>
        </w:rPr>
        <w:t>ktor okręgowy Służby Więziennej</w:t>
      </w:r>
      <w:r w:rsidRPr="00881CB0">
        <w:rPr>
          <w:rFonts w:ascii="Garamond" w:hAnsi="Garamond" w:cs="Arial"/>
          <w:sz w:val="28"/>
          <w:szCs w:val="28"/>
          <w:lang w:eastAsia="en-US"/>
        </w:rPr>
        <w:t xml:space="preserve"> uznał za zasadną skargę dotyczącą długości oczekiwania na wizytę lekarską. Zgodnie z regulaminem organizacyjnym podmiotu leczniczego pacjent powinien zostać przyjęty </w:t>
      </w:r>
      <w:r w:rsidR="000D1586">
        <w:rPr>
          <w:rFonts w:ascii="Garamond" w:hAnsi="Garamond" w:cs="Arial"/>
          <w:sz w:val="28"/>
          <w:szCs w:val="28"/>
          <w:lang w:eastAsia="en-US"/>
        </w:rPr>
        <w:t xml:space="preserve">na wizytę </w:t>
      </w:r>
      <w:r w:rsidRPr="00881CB0">
        <w:rPr>
          <w:rFonts w:ascii="Garamond" w:hAnsi="Garamond" w:cs="Arial"/>
          <w:sz w:val="28"/>
          <w:szCs w:val="28"/>
          <w:lang w:eastAsia="en-US"/>
        </w:rPr>
        <w:t xml:space="preserve">w ciągu 14 dni </w:t>
      </w:r>
      <w:r w:rsidR="007A3BE7">
        <w:rPr>
          <w:rFonts w:ascii="Garamond" w:hAnsi="Garamond" w:cs="Arial"/>
          <w:sz w:val="28"/>
          <w:szCs w:val="28"/>
          <w:lang w:eastAsia="en-US"/>
        </w:rPr>
        <w:t xml:space="preserve">  </w:t>
      </w:r>
      <w:r w:rsidRPr="00881CB0">
        <w:rPr>
          <w:rFonts w:ascii="Garamond" w:hAnsi="Garamond" w:cs="Arial"/>
          <w:sz w:val="28"/>
          <w:szCs w:val="28"/>
          <w:lang w:eastAsia="en-US"/>
        </w:rPr>
        <w:t xml:space="preserve">od dnia zapisania, natomiast został przyjęty po dłuższym okresie. Pielęgniarka oddziałowa przeprowadziła szkolenie dla personelu pielęgniarskiego dotyczące </w:t>
      </w:r>
      <w:r w:rsidRPr="00881CB0">
        <w:rPr>
          <w:rFonts w:ascii="Garamond" w:hAnsi="Garamond" w:cs="Arial"/>
          <w:sz w:val="28"/>
          <w:szCs w:val="28"/>
          <w:lang w:eastAsia="en-US"/>
        </w:rPr>
        <w:lastRenderedPageBreak/>
        <w:t xml:space="preserve">obowiązku systematycznego sprawdzania listy osób osadzonych zapisujących </w:t>
      </w:r>
      <w:r w:rsidR="007A3BE7">
        <w:rPr>
          <w:rFonts w:ascii="Garamond" w:hAnsi="Garamond" w:cs="Arial"/>
          <w:sz w:val="28"/>
          <w:szCs w:val="28"/>
          <w:lang w:eastAsia="en-US"/>
        </w:rPr>
        <w:t xml:space="preserve">        </w:t>
      </w:r>
      <w:r w:rsidRPr="00881CB0">
        <w:rPr>
          <w:rFonts w:ascii="Garamond" w:hAnsi="Garamond" w:cs="Arial"/>
          <w:sz w:val="28"/>
          <w:szCs w:val="28"/>
          <w:lang w:eastAsia="en-US"/>
        </w:rPr>
        <w:t xml:space="preserve">się na wizyty lekarskie, celem ich terminowych przyjęć. Zasadność skargi </w:t>
      </w:r>
      <w:r w:rsidR="007A3BE7">
        <w:rPr>
          <w:rFonts w:ascii="Garamond" w:hAnsi="Garamond" w:cs="Arial"/>
          <w:sz w:val="28"/>
          <w:szCs w:val="28"/>
          <w:lang w:eastAsia="en-US"/>
        </w:rPr>
        <w:t xml:space="preserve">      </w:t>
      </w:r>
      <w:r w:rsidRPr="00881CB0">
        <w:rPr>
          <w:rFonts w:ascii="Garamond" w:hAnsi="Garamond" w:cs="Arial"/>
          <w:sz w:val="28"/>
          <w:szCs w:val="28"/>
          <w:lang w:eastAsia="en-US"/>
        </w:rPr>
        <w:t>została omówiona na odprawie penitencjarno-ochr</w:t>
      </w:r>
      <w:r w:rsidR="000D1586">
        <w:rPr>
          <w:rFonts w:ascii="Garamond" w:hAnsi="Garamond" w:cs="Arial"/>
          <w:sz w:val="28"/>
          <w:szCs w:val="28"/>
          <w:lang w:eastAsia="en-US"/>
        </w:rPr>
        <w:t>onnej. Dyrektor jednostki</w:t>
      </w:r>
      <w:r w:rsidR="007A3BE7">
        <w:rPr>
          <w:rFonts w:ascii="Garamond" w:hAnsi="Garamond" w:cs="Arial"/>
          <w:sz w:val="28"/>
          <w:szCs w:val="28"/>
          <w:lang w:eastAsia="en-US"/>
        </w:rPr>
        <w:t xml:space="preserve">           </w:t>
      </w:r>
      <w:r w:rsidR="000D1586">
        <w:rPr>
          <w:rFonts w:ascii="Garamond" w:hAnsi="Garamond" w:cs="Arial"/>
          <w:sz w:val="28"/>
          <w:szCs w:val="28"/>
          <w:lang w:eastAsia="en-US"/>
        </w:rPr>
        <w:t xml:space="preserve"> z dwiema</w:t>
      </w:r>
      <w:r w:rsidRPr="00881CB0">
        <w:rPr>
          <w:rFonts w:ascii="Garamond" w:hAnsi="Garamond" w:cs="Arial"/>
          <w:sz w:val="28"/>
          <w:szCs w:val="28"/>
          <w:lang w:eastAsia="en-US"/>
        </w:rPr>
        <w:t xml:space="preserve"> pielęgniarkami ambulatorium odpowiedzialnymi z</w:t>
      </w:r>
      <w:r w:rsidR="00D97C0A">
        <w:rPr>
          <w:rFonts w:ascii="Garamond" w:hAnsi="Garamond" w:cs="Arial"/>
          <w:sz w:val="28"/>
          <w:szCs w:val="28"/>
          <w:lang w:eastAsia="en-US"/>
        </w:rPr>
        <w:t xml:space="preserve">a przedmiotowe nieprawidłowości </w:t>
      </w:r>
      <w:r w:rsidRPr="00881CB0">
        <w:rPr>
          <w:rFonts w:ascii="Garamond" w:hAnsi="Garamond" w:cs="Arial"/>
          <w:sz w:val="28"/>
          <w:szCs w:val="28"/>
          <w:lang w:eastAsia="en-US"/>
        </w:rPr>
        <w:t>przeprowadził rozmowę dyscyplinującą wraz z obniżeniem dodatku służbowego;</w:t>
      </w:r>
    </w:p>
    <w:p w:rsidR="00881CB0" w:rsidRPr="00881CB0" w:rsidRDefault="00881CB0" w:rsidP="00B96E8F">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Dyrektor okręgowy Służby Więziennej uznał za zasadną skargę dotyczącą braku wpisywania do dokumentacji medycznej osadzonego wartości glikemii jakie są          w pamięci glukometru. Skarga została omówiona na odprawie oddziałów penitencjarnych oraz na posiedzeniu kierownictwa. Kierownik Ambulatorium pouczyła personel medyczny o zasadach prowadzenia dokumentacji medycznej osadzonych przebywających w zakładzie;</w:t>
      </w:r>
    </w:p>
    <w:p w:rsidR="00881CB0" w:rsidRPr="00881CB0" w:rsidRDefault="00881CB0" w:rsidP="00B96E8F">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Dyrektor okręgowy Służby Więziennej uznał za zasadną skargę dotyczącą niedotrzymania przez administrację zakładu karnego terminu wydania skazanemu zwolnienia lekarskiego. Jak ustalono, osadzony zwolnienie lekarskie po doznanym urazie ręki otrzymał dopiero 12 </w:t>
      </w:r>
      <w:r w:rsidR="007A3BE7">
        <w:rPr>
          <w:rFonts w:ascii="Garamond" w:hAnsi="Garamond" w:cs="Arial"/>
          <w:sz w:val="28"/>
          <w:szCs w:val="28"/>
          <w:lang w:eastAsia="en-US"/>
        </w:rPr>
        <w:t>dni po zdarzeniu g</w:t>
      </w:r>
      <w:r w:rsidR="000D1586">
        <w:rPr>
          <w:rFonts w:ascii="Garamond" w:hAnsi="Garamond" w:cs="Arial"/>
          <w:sz w:val="28"/>
          <w:szCs w:val="28"/>
          <w:lang w:eastAsia="en-US"/>
        </w:rPr>
        <w:t>o powodującym</w:t>
      </w:r>
      <w:r w:rsidRPr="00881CB0">
        <w:rPr>
          <w:rFonts w:ascii="Garamond" w:hAnsi="Garamond" w:cs="Arial"/>
          <w:sz w:val="28"/>
          <w:szCs w:val="28"/>
          <w:lang w:eastAsia="en-US"/>
        </w:rPr>
        <w:t xml:space="preserve">. W związku </w:t>
      </w:r>
      <w:r w:rsidR="007A3BE7">
        <w:rPr>
          <w:rFonts w:ascii="Garamond" w:hAnsi="Garamond" w:cs="Arial"/>
          <w:sz w:val="28"/>
          <w:szCs w:val="28"/>
          <w:lang w:eastAsia="en-US"/>
        </w:rPr>
        <w:t xml:space="preserve">      </w:t>
      </w:r>
      <w:r w:rsidRPr="00881CB0">
        <w:rPr>
          <w:rFonts w:ascii="Garamond" w:hAnsi="Garamond" w:cs="Arial"/>
          <w:sz w:val="28"/>
          <w:szCs w:val="28"/>
          <w:lang w:eastAsia="en-US"/>
        </w:rPr>
        <w:t>z tym, że zwolnienie le</w:t>
      </w:r>
      <w:r w:rsidR="007A3BE7">
        <w:rPr>
          <w:rFonts w:ascii="Garamond" w:hAnsi="Garamond" w:cs="Arial"/>
          <w:sz w:val="28"/>
          <w:szCs w:val="28"/>
          <w:lang w:eastAsia="en-US"/>
        </w:rPr>
        <w:t xml:space="preserve">karskie skarżącego nie dotarło </w:t>
      </w:r>
      <w:r w:rsidRPr="00881CB0">
        <w:rPr>
          <w:rFonts w:ascii="Garamond" w:hAnsi="Garamond" w:cs="Arial"/>
          <w:sz w:val="28"/>
          <w:szCs w:val="28"/>
          <w:lang w:eastAsia="en-US"/>
        </w:rPr>
        <w:t>do oddziału ZUS</w:t>
      </w:r>
      <w:r w:rsidR="000D1586">
        <w:rPr>
          <w:rFonts w:ascii="Garamond" w:hAnsi="Garamond" w:cs="Arial"/>
          <w:sz w:val="28"/>
          <w:szCs w:val="28"/>
          <w:lang w:eastAsia="en-US"/>
        </w:rPr>
        <w:t xml:space="preserve"> </w:t>
      </w:r>
      <w:r w:rsidR="007A3BE7">
        <w:rPr>
          <w:rFonts w:ascii="Garamond" w:hAnsi="Garamond" w:cs="Arial"/>
          <w:sz w:val="28"/>
          <w:szCs w:val="28"/>
          <w:lang w:eastAsia="en-US"/>
        </w:rPr>
        <w:t xml:space="preserve">                 </w:t>
      </w:r>
      <w:r w:rsidR="000D1586">
        <w:rPr>
          <w:rFonts w:ascii="Garamond" w:hAnsi="Garamond" w:cs="Arial"/>
          <w:sz w:val="28"/>
          <w:szCs w:val="28"/>
          <w:lang w:eastAsia="en-US"/>
        </w:rPr>
        <w:t xml:space="preserve">w ustawowym terminie 7 dni </w:t>
      </w:r>
      <w:r w:rsidRPr="00881CB0">
        <w:rPr>
          <w:rFonts w:ascii="Garamond" w:hAnsi="Garamond" w:cs="Arial"/>
          <w:sz w:val="28"/>
          <w:szCs w:val="28"/>
          <w:lang w:eastAsia="en-US"/>
        </w:rPr>
        <w:t xml:space="preserve">od daty jego wystawienia, osadzonemu obniżono </w:t>
      </w:r>
      <w:r w:rsidR="007A3BE7">
        <w:rPr>
          <w:rFonts w:ascii="Garamond" w:hAnsi="Garamond" w:cs="Arial"/>
          <w:sz w:val="28"/>
          <w:szCs w:val="28"/>
          <w:lang w:eastAsia="en-US"/>
        </w:rPr>
        <w:t xml:space="preserve">        </w:t>
      </w:r>
      <w:r w:rsidRPr="00881CB0">
        <w:rPr>
          <w:rFonts w:ascii="Garamond" w:hAnsi="Garamond" w:cs="Arial"/>
          <w:sz w:val="28"/>
          <w:szCs w:val="28"/>
          <w:lang w:eastAsia="en-US"/>
        </w:rPr>
        <w:t>o 25 % wysokość wypłacanego zasiłku chorobowego. Niemniej, po interwencji</w:t>
      </w:r>
      <w:r w:rsidR="007A3BE7">
        <w:rPr>
          <w:rFonts w:ascii="Garamond" w:hAnsi="Garamond" w:cs="Arial"/>
          <w:sz w:val="28"/>
          <w:szCs w:val="28"/>
          <w:lang w:eastAsia="en-US"/>
        </w:rPr>
        <w:t xml:space="preserve">      </w:t>
      </w:r>
      <w:r w:rsidRPr="00881CB0">
        <w:rPr>
          <w:rFonts w:ascii="Garamond" w:hAnsi="Garamond" w:cs="Arial"/>
          <w:sz w:val="28"/>
          <w:szCs w:val="28"/>
          <w:lang w:eastAsia="en-US"/>
        </w:rPr>
        <w:t xml:space="preserve"> ze</w:t>
      </w:r>
      <w:r w:rsidR="007A3BE7">
        <w:rPr>
          <w:rFonts w:ascii="Garamond" w:hAnsi="Garamond" w:cs="Arial"/>
          <w:sz w:val="28"/>
          <w:szCs w:val="28"/>
          <w:lang w:eastAsia="en-US"/>
        </w:rPr>
        <w:t xml:space="preserve"> strony jednostki, decyzją ZUS</w:t>
      </w:r>
      <w:r w:rsidRPr="00881CB0">
        <w:rPr>
          <w:rFonts w:ascii="Garamond" w:hAnsi="Garamond" w:cs="Arial"/>
          <w:sz w:val="28"/>
          <w:szCs w:val="28"/>
          <w:lang w:eastAsia="en-US"/>
        </w:rPr>
        <w:t xml:space="preserve"> uchylono wydaną wcześniej decyzję w sprawie obniżenia o 25 % zasiłku chorobowego skarżącemu. Celem wykluczenia możliwości powtórzenia się podobnych sytuacji w przyszłości zobowiązano służbę zdrowia zakładu do każdorazowego, bezzwłocznego dostarczenia zwolnień lekarskich osadzonych właściwym merytorycznie komórkom organizacyjnym jednostki;</w:t>
      </w:r>
    </w:p>
    <w:p w:rsidR="00881CB0" w:rsidRPr="00881CB0" w:rsidRDefault="00881CB0" w:rsidP="00B96E8F">
      <w:pPr>
        <w:spacing w:line="360" w:lineRule="auto"/>
        <w:jc w:val="both"/>
        <w:rPr>
          <w:rFonts w:cs="Tahoma"/>
          <w:lang w:eastAsia="en-US"/>
        </w:rPr>
      </w:pPr>
      <w:r w:rsidRPr="00881CB0">
        <w:rPr>
          <w:rFonts w:ascii="Garamond" w:eastAsia="Times New Roman" w:hAnsi="Garamond" w:cs="Arial"/>
          <w:sz w:val="28"/>
          <w:szCs w:val="28"/>
          <w:lang w:eastAsia="en-US"/>
        </w:rPr>
        <w:t>- Dyrektor okręgowy Służby Więziennej uznał za częścio</w:t>
      </w:r>
      <w:r w:rsidR="002327C5">
        <w:rPr>
          <w:rFonts w:ascii="Garamond" w:eastAsia="Times New Roman" w:hAnsi="Garamond" w:cs="Arial"/>
          <w:sz w:val="28"/>
          <w:szCs w:val="28"/>
          <w:lang w:eastAsia="en-US"/>
        </w:rPr>
        <w:t xml:space="preserve">wo zasadne dwie tożsame skargi </w:t>
      </w:r>
      <w:r w:rsidRPr="00881CB0">
        <w:rPr>
          <w:rFonts w:ascii="Garamond" w:eastAsia="Times New Roman" w:hAnsi="Garamond" w:cs="Arial"/>
          <w:sz w:val="28"/>
          <w:szCs w:val="28"/>
          <w:lang w:eastAsia="en-US"/>
        </w:rPr>
        <w:t xml:space="preserve">w zakresie dotyczącym niewłaściwej pory wydania </w:t>
      </w:r>
      <w:r w:rsidR="002327C5">
        <w:rPr>
          <w:rFonts w:ascii="Garamond" w:eastAsia="Times New Roman" w:hAnsi="Garamond" w:cs="Arial"/>
          <w:sz w:val="28"/>
          <w:szCs w:val="28"/>
          <w:lang w:eastAsia="en-US"/>
        </w:rPr>
        <w:t>skazanemu</w:t>
      </w:r>
      <w:r w:rsidRPr="00881CB0">
        <w:rPr>
          <w:rFonts w:ascii="Garamond" w:eastAsia="Times New Roman" w:hAnsi="Garamond" w:cs="Arial"/>
          <w:sz w:val="28"/>
          <w:szCs w:val="28"/>
          <w:lang w:eastAsia="en-US"/>
        </w:rPr>
        <w:t xml:space="preserve"> leków. </w:t>
      </w:r>
      <w:r w:rsidR="002327C5">
        <w:rPr>
          <w:rFonts w:ascii="Garamond" w:eastAsia="Times New Roman" w:hAnsi="Garamond" w:cs="Arial"/>
          <w:sz w:val="28"/>
          <w:szCs w:val="28"/>
          <w:lang w:eastAsia="en-US"/>
        </w:rPr>
        <w:t xml:space="preserve">           </w:t>
      </w:r>
      <w:r w:rsidRPr="00881CB0">
        <w:rPr>
          <w:rFonts w:ascii="Garamond" w:hAnsi="Garamond" w:cs="Arial"/>
          <w:sz w:val="28"/>
          <w:szCs w:val="28"/>
          <w:lang w:eastAsia="en-US"/>
        </w:rPr>
        <w:t>Jak ustalono w toku postępowania skargowego</w:t>
      </w:r>
      <w:r w:rsidRPr="00881CB0">
        <w:rPr>
          <w:rFonts w:ascii="Garamond" w:eastAsia="Times New Roman" w:hAnsi="Garamond" w:cs="Arial"/>
          <w:sz w:val="28"/>
          <w:szCs w:val="28"/>
          <w:lang w:eastAsia="en-US"/>
        </w:rPr>
        <w:t xml:space="preserve"> </w:t>
      </w:r>
      <w:r w:rsidRPr="00881CB0">
        <w:rPr>
          <w:rFonts w:ascii="Garamond" w:hAnsi="Garamond" w:cs="Arial"/>
          <w:sz w:val="28"/>
          <w:szCs w:val="28"/>
          <w:lang w:eastAsia="en-US"/>
        </w:rPr>
        <w:t xml:space="preserve">wieczorna dawka leków została wydana w godzinach popołudniowych. </w:t>
      </w:r>
      <w:r w:rsidRPr="00881CB0">
        <w:rPr>
          <w:rFonts w:ascii="Garamond" w:eastAsia="Lucida Sans Unicode" w:hAnsi="Garamond" w:cs="Arial"/>
          <w:sz w:val="28"/>
          <w:szCs w:val="28"/>
          <w:lang w:eastAsia="en-US"/>
        </w:rPr>
        <w:t xml:space="preserve">Kierownik działu ochrony przeprowadził rozmowę instruktażowo – szkoleniową, a </w:t>
      </w:r>
      <w:r w:rsidRPr="00881CB0">
        <w:rPr>
          <w:rFonts w:ascii="Garamond" w:eastAsia="Times New Roman" w:hAnsi="Garamond" w:cs="Arial"/>
          <w:sz w:val="28"/>
          <w:szCs w:val="28"/>
          <w:lang w:eastAsia="en-US"/>
        </w:rPr>
        <w:t>skargi osadzonego omówiono na odprawie ogólnopenitencjarnej d</w:t>
      </w:r>
      <w:r w:rsidR="002327C5">
        <w:rPr>
          <w:rFonts w:ascii="Garamond" w:eastAsia="Times New Roman" w:hAnsi="Garamond" w:cs="Arial"/>
          <w:sz w:val="28"/>
          <w:szCs w:val="28"/>
          <w:lang w:eastAsia="en-US"/>
        </w:rPr>
        <w:t xml:space="preserve">la wszystkich funkcjonariuszy i </w:t>
      </w:r>
      <w:r w:rsidRPr="00881CB0">
        <w:rPr>
          <w:rFonts w:ascii="Garamond" w:eastAsia="Times New Roman" w:hAnsi="Garamond" w:cs="Arial"/>
          <w:sz w:val="28"/>
          <w:szCs w:val="28"/>
          <w:lang w:eastAsia="en-US"/>
        </w:rPr>
        <w:t xml:space="preserve">pracowników </w:t>
      </w:r>
      <w:r w:rsidRPr="00881CB0">
        <w:rPr>
          <w:rFonts w:ascii="Garamond" w:eastAsia="Times New Roman" w:hAnsi="Garamond" w:cs="Arial"/>
          <w:sz w:val="28"/>
          <w:szCs w:val="28"/>
          <w:lang w:eastAsia="en-US"/>
        </w:rPr>
        <w:lastRenderedPageBreak/>
        <w:t>zakładu;</w:t>
      </w:r>
    </w:p>
    <w:p w:rsidR="00881CB0" w:rsidRPr="00881CB0" w:rsidRDefault="00881CB0" w:rsidP="00B96E8F">
      <w:pPr>
        <w:spacing w:line="360" w:lineRule="auto"/>
        <w:jc w:val="both"/>
        <w:rPr>
          <w:rFonts w:ascii="Garamond" w:eastAsia="Lucida Sans Unicode" w:hAnsi="Garamond" w:cs="Arial"/>
          <w:sz w:val="28"/>
          <w:szCs w:val="28"/>
          <w:lang w:eastAsia="en-US"/>
        </w:rPr>
      </w:pPr>
      <w:r w:rsidRPr="00881CB0">
        <w:rPr>
          <w:rFonts w:ascii="Garamond" w:eastAsia="Lucida Sans Unicode" w:hAnsi="Garamond" w:cs="Arial"/>
          <w:sz w:val="28"/>
          <w:szCs w:val="28"/>
          <w:lang w:eastAsia="en-US"/>
        </w:rPr>
        <w:t>- Dyrektor okręgowy Służby Więziennej uznał za zasadną skargę osadzonego          w części dotyczącej zagubienia dokumentacji medycznej w zakładzie karnym.         W toku podjętych czynności wyjaśniających ustalono, że podczas leczenia skazanego w pozawięziennej placówce służby zdrowia doszło do zagubienia książeczki zdrowia osadzonego. Przyczyną zaginięcia przedmiotowej dokumentacji był niewłaściwy sposób postępowania z nią przez funkcjonariuszy konwojujących skazanego (przechowywanie jej w łóżku szpitalnym, które zajmował skarżący).        W związku ze stwierdzonymi nieprawidłowościami w sposobie postępowania funkcjonariuszy zakładu z dokumentacją medyczną osadzonych, w jednostce podjęte zostały stosowne działania mające na celu uniknięcie podobnych zdarzeń         w przyszłości. Wobec osób, które w wyniku niewłaściwego wykonywania obowiązków służbowych przyczyniły się do utraty dokumentacji zostały wyciągnięte konsekwe</w:t>
      </w:r>
      <w:r w:rsidR="00B96E8F">
        <w:rPr>
          <w:rFonts w:ascii="Garamond" w:eastAsia="Lucida Sans Unicode" w:hAnsi="Garamond" w:cs="Arial"/>
          <w:sz w:val="28"/>
          <w:szCs w:val="28"/>
          <w:lang w:eastAsia="en-US"/>
        </w:rPr>
        <w:t xml:space="preserve">ncje służbowe w postaci nagany. </w:t>
      </w:r>
      <w:r w:rsidRPr="00881CB0">
        <w:rPr>
          <w:rFonts w:ascii="Garamond" w:eastAsia="Lucida Sans Unicode" w:hAnsi="Garamond" w:cs="Arial"/>
          <w:sz w:val="28"/>
          <w:szCs w:val="28"/>
          <w:lang w:eastAsia="en-US"/>
        </w:rPr>
        <w:t xml:space="preserve">Stwierdzone nieprawidłowości zostały omówione podczas szkolenia funkcjonariuszy działu ochrony. Ponadto do właściwej miejscowo prokuratury skierowane zostało zawiadomienie o możliwości popełnienia przestępstwa.  </w:t>
      </w:r>
    </w:p>
    <w:p w:rsidR="00881CB0" w:rsidRPr="00BC773D" w:rsidRDefault="00881CB0" w:rsidP="00B96E8F">
      <w:pPr>
        <w:spacing w:line="360" w:lineRule="auto"/>
        <w:jc w:val="both"/>
        <w:rPr>
          <w:rFonts w:ascii="Garamond" w:eastAsia="Lucida Sans Unicode" w:hAnsi="Garamond" w:cs="Arial"/>
          <w:lang w:eastAsia="en-US"/>
        </w:rPr>
      </w:pPr>
    </w:p>
    <w:p w:rsidR="00881CB0" w:rsidRPr="00881CB0" w:rsidRDefault="00881CB0" w:rsidP="00881CB0">
      <w:pPr>
        <w:keepNext/>
        <w:tabs>
          <w:tab w:val="left" w:pos="2836"/>
        </w:tabs>
        <w:spacing w:line="360" w:lineRule="auto"/>
        <w:jc w:val="both"/>
        <w:outlineLvl w:val="2"/>
        <w:rPr>
          <w:rFonts w:ascii="Garamond" w:hAnsi="Garamond" w:cs="Arial"/>
          <w:b/>
          <w:sz w:val="28"/>
          <w:szCs w:val="28"/>
          <w:lang w:eastAsia="ar-SA"/>
        </w:rPr>
      </w:pPr>
      <w:bookmarkStart w:id="17" w:name="_Toc386125900"/>
      <w:bookmarkStart w:id="18" w:name="_Toc485388671"/>
      <w:bookmarkStart w:id="19" w:name="__RefHeading__3472_933653961"/>
      <w:r w:rsidRPr="00881CB0">
        <w:rPr>
          <w:rFonts w:ascii="Garamond" w:hAnsi="Garamond" w:cs="Arial"/>
          <w:b/>
          <w:sz w:val="28"/>
          <w:szCs w:val="28"/>
          <w:lang w:eastAsia="ar-SA"/>
        </w:rPr>
        <w:t>5.2.2. W zakresie warunków bytowych (SWB)</w:t>
      </w:r>
      <w:bookmarkEnd w:id="17"/>
      <w:bookmarkEnd w:id="18"/>
      <w:bookmarkEnd w:id="19"/>
    </w:p>
    <w:p w:rsidR="00881CB0" w:rsidRPr="00881CB0" w:rsidRDefault="00881CB0" w:rsidP="00B96E8F">
      <w:pPr>
        <w:spacing w:line="360" w:lineRule="auto"/>
        <w:jc w:val="both"/>
        <w:rPr>
          <w:rFonts w:cs="Tahoma"/>
          <w:lang w:eastAsia="en-US"/>
        </w:rPr>
      </w:pPr>
      <w:r w:rsidRPr="00881CB0">
        <w:rPr>
          <w:rFonts w:ascii="Garamond" w:hAnsi="Garamond" w:cs="Arial"/>
          <w:sz w:val="28"/>
          <w:szCs w:val="28"/>
          <w:lang w:eastAsia="ar-SA"/>
        </w:rPr>
        <w:t>- Dyrektor okręgowy Służby Więziennej uznał za uzasadnioną skargę skazanego       w części dotyczącej warunków</w:t>
      </w:r>
      <w:r w:rsidR="00B96E8F">
        <w:rPr>
          <w:rFonts w:ascii="Garamond" w:hAnsi="Garamond" w:cs="Arial"/>
          <w:sz w:val="28"/>
          <w:szCs w:val="28"/>
          <w:lang w:eastAsia="ar-SA"/>
        </w:rPr>
        <w:t xml:space="preserve"> panujących w celi mieszkalnej. </w:t>
      </w:r>
      <w:r w:rsidRPr="00881CB0">
        <w:rPr>
          <w:rFonts w:ascii="Garamond" w:hAnsi="Garamond" w:cs="Arial"/>
          <w:sz w:val="28"/>
          <w:szCs w:val="28"/>
          <w:lang w:eastAsia="ar-SA"/>
        </w:rPr>
        <w:t xml:space="preserve">Osadzony zakwaterowany był w szpitalu, gdzie w wyposażeniu nie było stołu, tylko szafka przy łóżku. Całkowity brak stołu w wyposażeniu tej sali uznano za naruszenie rozporządzenia Ministra Sprawiedliwości z dnia 28.01.2014 r. </w:t>
      </w:r>
      <w:r w:rsidRPr="00881CB0">
        <w:rPr>
          <w:rFonts w:ascii="Garamond" w:hAnsi="Garamond" w:cs="Arial"/>
          <w:i/>
          <w:iCs/>
          <w:sz w:val="28"/>
          <w:szCs w:val="28"/>
          <w:lang w:eastAsia="ar-SA"/>
        </w:rPr>
        <w:t>w sprawie warunków bytowych osób osadzonych w zakładach karnych i aresztach</w:t>
      </w:r>
      <w:r w:rsidRPr="00881CB0">
        <w:rPr>
          <w:rFonts w:ascii="Garamond" w:hAnsi="Garamond" w:cs="Arial"/>
          <w:sz w:val="28"/>
          <w:szCs w:val="28"/>
          <w:lang w:eastAsia="ar-SA"/>
        </w:rPr>
        <w:t xml:space="preserve"> </w:t>
      </w:r>
      <w:r w:rsidRPr="00881CB0">
        <w:rPr>
          <w:rFonts w:ascii="Garamond" w:hAnsi="Garamond" w:cs="Arial"/>
          <w:i/>
          <w:iCs/>
          <w:sz w:val="28"/>
          <w:szCs w:val="28"/>
          <w:lang w:eastAsia="ar-SA"/>
        </w:rPr>
        <w:t>śledczych</w:t>
      </w:r>
      <w:r w:rsidRPr="00881CB0">
        <w:rPr>
          <w:rFonts w:ascii="Garamond" w:hAnsi="Garamond" w:cs="Arial"/>
          <w:sz w:val="28"/>
          <w:szCs w:val="28"/>
          <w:lang w:eastAsia="ar-SA"/>
        </w:rPr>
        <w:t xml:space="preserve">. Z kierownikiem działu kwatermistrzowskiego oraz jego zastępcą, dyrektor </w:t>
      </w:r>
      <w:r w:rsidR="007A3BE7">
        <w:rPr>
          <w:rFonts w:ascii="Garamond" w:hAnsi="Garamond" w:cs="Arial"/>
          <w:sz w:val="28"/>
          <w:szCs w:val="28"/>
          <w:lang w:eastAsia="ar-SA"/>
        </w:rPr>
        <w:t>jednostki przeprowadził rozmowę</w:t>
      </w:r>
      <w:r w:rsidRPr="00881CB0">
        <w:rPr>
          <w:rFonts w:ascii="Garamond" w:hAnsi="Garamond" w:cs="Arial"/>
          <w:sz w:val="28"/>
          <w:szCs w:val="28"/>
          <w:lang w:eastAsia="ar-SA"/>
        </w:rPr>
        <w:t xml:space="preserve"> polecając podjąć działania, które zapobiegną w przyszłości podobnym nieprawidłowościom;</w:t>
      </w:r>
    </w:p>
    <w:p w:rsidR="00881CB0" w:rsidRPr="00881CB0" w:rsidRDefault="00881CB0" w:rsidP="00B96E8F">
      <w:pPr>
        <w:spacing w:line="360" w:lineRule="auto"/>
        <w:jc w:val="both"/>
        <w:rPr>
          <w:rFonts w:ascii="Garamond" w:hAnsi="Garamond" w:cs="Arial"/>
          <w:sz w:val="28"/>
          <w:szCs w:val="28"/>
          <w:lang w:eastAsia="ar-SA"/>
        </w:rPr>
      </w:pPr>
      <w:r w:rsidRPr="00881CB0">
        <w:rPr>
          <w:rFonts w:ascii="Garamond" w:hAnsi="Garamond" w:cs="Arial"/>
          <w:sz w:val="28"/>
          <w:szCs w:val="28"/>
          <w:lang w:eastAsia="ar-SA"/>
        </w:rPr>
        <w:t>- Dyrektor aresztu śledczego uznał za zasadną skargę dotyczącą osadzenia skarżącego w celi mieszkalnej z osobami palącymi wyroby tytoniowe. Jak ustalono, w areszcie skarżący 3 dni przebywał z os</w:t>
      </w:r>
      <w:r w:rsidR="007A3BE7">
        <w:rPr>
          <w:rFonts w:ascii="Garamond" w:hAnsi="Garamond" w:cs="Arial"/>
          <w:sz w:val="28"/>
          <w:szCs w:val="28"/>
          <w:lang w:eastAsia="ar-SA"/>
        </w:rPr>
        <w:t>obami palącymi wyroby tytoniowe</w:t>
      </w:r>
      <w:r w:rsidRPr="00881CB0">
        <w:rPr>
          <w:rFonts w:ascii="Garamond" w:hAnsi="Garamond" w:cs="Arial"/>
          <w:sz w:val="28"/>
          <w:szCs w:val="28"/>
          <w:lang w:eastAsia="ar-SA"/>
        </w:rPr>
        <w:t xml:space="preserve"> </w:t>
      </w:r>
      <w:r w:rsidRPr="00881CB0">
        <w:rPr>
          <w:rFonts w:ascii="Garamond" w:hAnsi="Garamond" w:cs="Arial"/>
          <w:sz w:val="28"/>
          <w:szCs w:val="28"/>
          <w:lang w:eastAsia="ar-SA"/>
        </w:rPr>
        <w:lastRenderedPageBreak/>
        <w:t xml:space="preserve">pomimo, że już w dniu przyjęcia deklarował się jako osoba niepaląca. Informacja </w:t>
      </w:r>
      <w:r w:rsidR="00BC773D">
        <w:rPr>
          <w:rFonts w:ascii="Garamond" w:hAnsi="Garamond" w:cs="Arial"/>
          <w:sz w:val="28"/>
          <w:szCs w:val="28"/>
          <w:lang w:eastAsia="ar-SA"/>
        </w:rPr>
        <w:t xml:space="preserve"> </w:t>
      </w:r>
      <w:r w:rsidRPr="00881CB0">
        <w:rPr>
          <w:rFonts w:ascii="Garamond" w:hAnsi="Garamond" w:cs="Arial"/>
          <w:sz w:val="28"/>
          <w:szCs w:val="28"/>
          <w:lang w:eastAsia="ar-SA"/>
        </w:rPr>
        <w:t xml:space="preserve">na temat nieużywania wyrobów tytoniowych przez skarżącego była prawidłowo odnotowana na trzeciej stronie obwoluty akt ewidencyjnych oraz w Centralnej Bazie Danych Osób Pozbawionych Wolności Noe.NET. Natomiast wychowawca </w:t>
      </w:r>
      <w:r w:rsidR="00B96E8F">
        <w:rPr>
          <w:rFonts w:ascii="Garamond" w:hAnsi="Garamond" w:cs="Arial"/>
          <w:sz w:val="28"/>
          <w:szCs w:val="28"/>
          <w:lang w:eastAsia="ar-SA"/>
        </w:rPr>
        <w:br/>
      </w:r>
      <w:r w:rsidRPr="00881CB0">
        <w:rPr>
          <w:rFonts w:ascii="Garamond" w:hAnsi="Garamond" w:cs="Arial"/>
          <w:sz w:val="28"/>
          <w:szCs w:val="28"/>
          <w:lang w:eastAsia="ar-SA"/>
        </w:rPr>
        <w:t xml:space="preserve">w dniu przyjęcia wnoszącego skargę do jednostki, po wstępnej analizie rozmieszczenia osadzonych w celach przejściowych i monitorowanych, podjął decyzję o umieszczeniu osadzonego w celi przejściowej z osobą palącą. Osadzenia tego nie zweryfikował również wychowawca dyżurny. W związku z uznaniem skargi za zasadną z wychowawcami przeprowadzono rozmowy dyscyplinujące. Podjęto </w:t>
      </w:r>
      <w:r w:rsidR="00BC773D">
        <w:rPr>
          <w:rFonts w:ascii="Garamond" w:hAnsi="Garamond" w:cs="Arial"/>
          <w:sz w:val="28"/>
          <w:szCs w:val="28"/>
          <w:lang w:eastAsia="ar-SA"/>
        </w:rPr>
        <w:t xml:space="preserve"> </w:t>
      </w:r>
      <w:r w:rsidRPr="00881CB0">
        <w:rPr>
          <w:rFonts w:ascii="Garamond" w:hAnsi="Garamond" w:cs="Arial"/>
          <w:sz w:val="28"/>
          <w:szCs w:val="28"/>
          <w:lang w:eastAsia="ar-SA"/>
        </w:rPr>
        <w:t xml:space="preserve">też decyzję o obniżeniu jednemu z wychowawców nagrody pieniężnej o 50%. Ponadto skarga oraz ustalenia postępowania zostały omówione na odprawie </w:t>
      </w:r>
      <w:r w:rsidR="00BC773D">
        <w:rPr>
          <w:rFonts w:ascii="Garamond" w:hAnsi="Garamond" w:cs="Arial"/>
          <w:sz w:val="28"/>
          <w:szCs w:val="28"/>
          <w:lang w:eastAsia="ar-SA"/>
        </w:rPr>
        <w:t xml:space="preserve">  </w:t>
      </w:r>
      <w:r w:rsidRPr="00881CB0">
        <w:rPr>
          <w:rFonts w:ascii="Garamond" w:hAnsi="Garamond" w:cs="Arial"/>
          <w:sz w:val="28"/>
          <w:szCs w:val="28"/>
          <w:lang w:eastAsia="ar-SA"/>
        </w:rPr>
        <w:t xml:space="preserve">działu penitencjarnego </w:t>
      </w:r>
      <w:r w:rsidR="00413D89">
        <w:rPr>
          <w:rFonts w:ascii="Garamond" w:hAnsi="Garamond" w:cs="Arial"/>
          <w:sz w:val="28"/>
          <w:szCs w:val="28"/>
          <w:lang w:eastAsia="ar-SA"/>
        </w:rPr>
        <w:t>i</w:t>
      </w:r>
      <w:r w:rsidRPr="00881CB0">
        <w:rPr>
          <w:rFonts w:ascii="Garamond" w:hAnsi="Garamond" w:cs="Arial"/>
          <w:sz w:val="28"/>
          <w:szCs w:val="28"/>
          <w:lang w:eastAsia="ar-SA"/>
        </w:rPr>
        <w:t xml:space="preserve"> na posiedzeniu kierownictwa jednostki;</w:t>
      </w:r>
    </w:p>
    <w:p w:rsidR="00881CB0" w:rsidRPr="00881CB0" w:rsidRDefault="00881CB0" w:rsidP="00E060B4">
      <w:pPr>
        <w:spacing w:line="360" w:lineRule="auto"/>
        <w:jc w:val="both"/>
        <w:rPr>
          <w:rFonts w:cs="Tahoma"/>
          <w:lang w:eastAsia="en-US"/>
        </w:rPr>
      </w:pPr>
      <w:r w:rsidRPr="00881CB0">
        <w:rPr>
          <w:rFonts w:ascii="Garamond" w:hAnsi="Garamond" w:cs="Arial"/>
          <w:sz w:val="28"/>
          <w:szCs w:val="28"/>
          <w:lang w:eastAsia="ar-SA"/>
        </w:rPr>
        <w:t>- Dyrektor okręgowy Służby Więziennej uznał za zasadną skargę w części dotyczącej wyżywienia. W toku analizowania dokumentac</w:t>
      </w:r>
      <w:r w:rsidR="002327C5">
        <w:rPr>
          <w:rFonts w:ascii="Garamond" w:hAnsi="Garamond" w:cs="Arial"/>
          <w:sz w:val="28"/>
          <w:szCs w:val="28"/>
          <w:lang w:eastAsia="ar-SA"/>
        </w:rPr>
        <w:t xml:space="preserve">ji stwierdzono,                że </w:t>
      </w:r>
      <w:r w:rsidRPr="00881CB0">
        <w:rPr>
          <w:rFonts w:ascii="Garamond" w:hAnsi="Garamond" w:cs="Arial"/>
          <w:sz w:val="28"/>
          <w:szCs w:val="28"/>
          <w:lang w:eastAsia="ar-SA"/>
        </w:rPr>
        <w:t xml:space="preserve">w jadłospisie transportowym posiłku cukrzycowego dla chorych na cukrzycę insulinozależną nie był wydany cukier w postaci stałej. Podjęto działania ukierunkowane na prawidłową realizację uprawnień do otrzymania przez chorych na cukrzycę insulinozależną wyżywienia zgodnie z treścią art. 9 rozporządzenia Ministra Sprawiedliwości z dnia 19.02.2016 r. </w:t>
      </w:r>
      <w:r w:rsidRPr="00881CB0">
        <w:rPr>
          <w:rFonts w:ascii="Garamond" w:hAnsi="Garamond" w:cs="Arial"/>
          <w:i/>
          <w:iCs/>
          <w:sz w:val="28"/>
          <w:szCs w:val="28"/>
          <w:lang w:eastAsia="ar-SA"/>
        </w:rPr>
        <w:t>w sprawie wyżywienia osadzonych                w zakładach karnych i aresztach śledczych</w:t>
      </w:r>
      <w:r w:rsidRPr="00881CB0">
        <w:rPr>
          <w:rFonts w:ascii="Garamond" w:hAnsi="Garamond" w:cs="Arial"/>
          <w:sz w:val="28"/>
          <w:szCs w:val="28"/>
          <w:lang w:eastAsia="ar-SA"/>
        </w:rPr>
        <w:t>. W jadłospisach dotyczących diety cukrzycowej uwzględnia się konieczność wydawania cukru w postaci stałej w ilości 6g na dobę do śniadania;</w:t>
      </w:r>
    </w:p>
    <w:p w:rsidR="00881CB0" w:rsidRPr="00881CB0" w:rsidRDefault="00881CB0" w:rsidP="00E060B4">
      <w:pPr>
        <w:spacing w:line="360" w:lineRule="auto"/>
        <w:jc w:val="both"/>
        <w:rPr>
          <w:rFonts w:ascii="Garamond" w:hAnsi="Garamond" w:cs="Arial"/>
          <w:sz w:val="28"/>
          <w:szCs w:val="28"/>
          <w:lang w:eastAsia="ar-SA"/>
        </w:rPr>
      </w:pPr>
      <w:r w:rsidRPr="00881CB0">
        <w:rPr>
          <w:rFonts w:ascii="Garamond" w:hAnsi="Garamond" w:cs="Arial"/>
          <w:sz w:val="28"/>
          <w:szCs w:val="28"/>
          <w:lang w:eastAsia="ar-SA"/>
        </w:rPr>
        <w:t>- W areszcie śledczym osadzony z nadaną mu podgrupą klasyfikacyjną P-1 został zakwaterowany z osobą, której nadano podgrupę klasyfikacyjną R-1/p, a która przebywała w jednostce penitencjarnej, z uwagi na transport tzw.</w:t>
      </w:r>
      <w:r w:rsidR="002327C5">
        <w:rPr>
          <w:rFonts w:ascii="Garamond" w:hAnsi="Garamond" w:cs="Arial"/>
          <w:sz w:val="28"/>
          <w:szCs w:val="28"/>
          <w:lang w:eastAsia="ar-SA"/>
        </w:rPr>
        <w:t xml:space="preserve"> „</w:t>
      </w:r>
      <w:r w:rsidRPr="00881CB0">
        <w:rPr>
          <w:rFonts w:ascii="Garamond" w:hAnsi="Garamond" w:cs="Arial"/>
          <w:sz w:val="28"/>
          <w:szCs w:val="28"/>
          <w:lang w:eastAsia="ar-SA"/>
        </w:rPr>
        <w:t>etapowy". Powstała nieprawidłowość w rozmieszczeniu została wyeliminowana w następnym dniu. Z uwagi na niewłaściwe rozmieszczenie dyrektor aresztu uznał w tej części skargę za zasadną. Działania nadzorcze w</w:t>
      </w:r>
      <w:r w:rsidR="002327C5">
        <w:rPr>
          <w:rFonts w:ascii="Garamond" w:hAnsi="Garamond" w:cs="Arial"/>
          <w:sz w:val="28"/>
          <w:szCs w:val="28"/>
          <w:lang w:eastAsia="ar-SA"/>
        </w:rPr>
        <w:t xml:space="preserve"> </w:t>
      </w:r>
      <w:r w:rsidRPr="00881CB0">
        <w:rPr>
          <w:rFonts w:ascii="Garamond" w:hAnsi="Garamond" w:cs="Arial"/>
          <w:sz w:val="28"/>
          <w:szCs w:val="28"/>
          <w:lang w:eastAsia="ar-SA"/>
        </w:rPr>
        <w:t xml:space="preserve">jednostce w celu wyeliminowania i nie dopuszczenia w przyszłości </w:t>
      </w:r>
      <w:r w:rsidR="002327C5">
        <w:rPr>
          <w:rFonts w:ascii="Garamond" w:hAnsi="Garamond" w:cs="Arial"/>
          <w:sz w:val="28"/>
          <w:szCs w:val="28"/>
          <w:lang w:eastAsia="ar-SA"/>
        </w:rPr>
        <w:t xml:space="preserve">do </w:t>
      </w:r>
      <w:r w:rsidRPr="00881CB0">
        <w:rPr>
          <w:rFonts w:ascii="Garamond" w:hAnsi="Garamond" w:cs="Arial"/>
          <w:sz w:val="28"/>
          <w:szCs w:val="28"/>
          <w:lang w:eastAsia="ar-SA"/>
        </w:rPr>
        <w:t xml:space="preserve">wystąpienia nieprawidłowości o podobnym charakterze polegały na omówieniu skargi na odprawach: penitencjarno–ochronnych, dowódców zmian, kierownictwa. Wobec funkcjonariusza zastosowano </w:t>
      </w:r>
      <w:r w:rsidRPr="00881CB0">
        <w:rPr>
          <w:rFonts w:ascii="Garamond" w:hAnsi="Garamond" w:cs="Arial"/>
          <w:sz w:val="28"/>
          <w:szCs w:val="28"/>
          <w:lang w:eastAsia="ar-SA"/>
        </w:rPr>
        <w:lastRenderedPageBreak/>
        <w:t>środek dyscyplinujący w postaci rozmowy dyscyplinującej.</w:t>
      </w:r>
    </w:p>
    <w:p w:rsidR="00881CB0" w:rsidRPr="00881CB0" w:rsidRDefault="00881CB0" w:rsidP="00E060B4">
      <w:pPr>
        <w:spacing w:line="360" w:lineRule="auto"/>
        <w:jc w:val="both"/>
        <w:rPr>
          <w:rFonts w:cs="Tahoma"/>
          <w:lang w:eastAsia="en-US"/>
        </w:rPr>
      </w:pPr>
      <w:r w:rsidRPr="00881CB0">
        <w:rPr>
          <w:rFonts w:ascii="Garamond" w:hAnsi="Garamond" w:cs="Arial"/>
          <w:sz w:val="28"/>
          <w:szCs w:val="28"/>
          <w:lang w:eastAsia="en-US"/>
        </w:rPr>
        <w:t>- Dyrektor okręgowy Służby Więziennej uznał za zasadną skargę w części dotyczącej niezapewnienia skazanym skierowanym do odbywania kary w zakładzie karnym typu półotwartego możliwości korzystania z własnej odzieży. Uznano niezgodność porządk</w:t>
      </w:r>
      <w:r w:rsidR="00E060B4">
        <w:rPr>
          <w:rFonts w:ascii="Garamond" w:hAnsi="Garamond" w:cs="Arial"/>
          <w:sz w:val="28"/>
          <w:szCs w:val="28"/>
          <w:lang w:eastAsia="en-US"/>
        </w:rPr>
        <w:t>u wewnętrznego z art. 91 pkt 6 k</w:t>
      </w:r>
      <w:r w:rsidRPr="00881CB0">
        <w:rPr>
          <w:rFonts w:ascii="Garamond" w:hAnsi="Garamond" w:cs="Arial"/>
          <w:sz w:val="28"/>
          <w:szCs w:val="28"/>
          <w:lang w:eastAsia="en-US"/>
        </w:rPr>
        <w:t xml:space="preserve">.k.w., którego zapis obligował osoby osadzone w jednostce do </w:t>
      </w:r>
      <w:r w:rsidRPr="00881CB0">
        <w:rPr>
          <w:rFonts w:ascii="Garamond" w:hAnsi="Garamond" w:cs="Arial"/>
          <w:sz w:val="28"/>
          <w:szCs w:val="28"/>
          <w:lang w:eastAsia="ar-SA"/>
        </w:rPr>
        <w:t xml:space="preserve">poruszania się po terenie zakładu karnego </w:t>
      </w:r>
      <w:r w:rsidR="00E060B4">
        <w:rPr>
          <w:rFonts w:ascii="Garamond" w:hAnsi="Garamond" w:cs="Arial"/>
          <w:sz w:val="28"/>
          <w:szCs w:val="28"/>
          <w:lang w:eastAsia="ar-SA"/>
        </w:rPr>
        <w:br/>
      </w:r>
      <w:r w:rsidRPr="00881CB0">
        <w:rPr>
          <w:rFonts w:ascii="Garamond" w:hAnsi="Garamond" w:cs="Arial"/>
          <w:sz w:val="28"/>
          <w:szCs w:val="28"/>
          <w:lang w:eastAsia="ar-SA"/>
        </w:rPr>
        <w:t>w kompletnym ubraniu (w bluzie i spodniach wydawanych przez zakład karny)</w:t>
      </w:r>
      <w:r w:rsidRPr="00881CB0">
        <w:rPr>
          <w:rFonts w:ascii="Garamond" w:hAnsi="Garamond" w:cs="Arial"/>
          <w:sz w:val="28"/>
          <w:szCs w:val="28"/>
          <w:lang w:eastAsia="en-US"/>
        </w:rPr>
        <w:t xml:space="preserve">. </w:t>
      </w:r>
      <w:r w:rsidR="002327C5">
        <w:rPr>
          <w:rFonts w:ascii="Garamond" w:hAnsi="Garamond" w:cs="Arial"/>
          <w:sz w:val="28"/>
          <w:szCs w:val="28"/>
          <w:lang w:eastAsia="en-US"/>
        </w:rPr>
        <w:t xml:space="preserve">     </w:t>
      </w:r>
      <w:r w:rsidRPr="00881CB0">
        <w:rPr>
          <w:rFonts w:ascii="Garamond" w:hAnsi="Garamond" w:cs="Arial"/>
          <w:sz w:val="28"/>
          <w:szCs w:val="28"/>
          <w:lang w:eastAsia="en-US"/>
        </w:rPr>
        <w:t xml:space="preserve">W związku z powyższym, podjęto decyzję o niezwłocznej zmianie </w:t>
      </w:r>
      <w:r w:rsidR="002327C5">
        <w:rPr>
          <w:rFonts w:ascii="Garamond" w:hAnsi="Garamond" w:cs="Arial"/>
          <w:sz w:val="28"/>
          <w:szCs w:val="28"/>
          <w:lang w:eastAsia="en-US"/>
        </w:rPr>
        <w:t xml:space="preserve">powyższego </w:t>
      </w:r>
      <w:r w:rsidRPr="00881CB0">
        <w:rPr>
          <w:rFonts w:ascii="Garamond" w:hAnsi="Garamond" w:cs="Arial"/>
          <w:sz w:val="28"/>
          <w:szCs w:val="28"/>
          <w:lang w:eastAsia="en-US"/>
        </w:rPr>
        <w:t>zapisu porządku wewnętrznego;</w:t>
      </w:r>
    </w:p>
    <w:p w:rsidR="00881CB0" w:rsidRPr="00881CB0" w:rsidRDefault="00881CB0" w:rsidP="00E060B4">
      <w:pPr>
        <w:spacing w:after="200" w:line="360" w:lineRule="auto"/>
        <w:jc w:val="both"/>
        <w:rPr>
          <w:rFonts w:cs="Tahoma"/>
          <w:lang w:eastAsia="en-US"/>
        </w:rPr>
      </w:pPr>
      <w:r w:rsidRPr="00881CB0">
        <w:rPr>
          <w:rFonts w:ascii="Garamond" w:hAnsi="Garamond" w:cs="Arial"/>
          <w:sz w:val="28"/>
          <w:szCs w:val="28"/>
          <w:lang w:eastAsia="en-US"/>
        </w:rPr>
        <w:t xml:space="preserve">- Dyrektor okręgowy Służby Więziennej uznał za zasadną skargę w zakresie wyposażenia pomieszczenia fryzjerni. Ustalono, że doszło do nieprawidłowego zastosowania treści rozporządzenia Ministra Sprawiedliwości z dnia 20.01.2014 r.      </w:t>
      </w:r>
      <w:r w:rsidRPr="00881CB0">
        <w:rPr>
          <w:rFonts w:ascii="Garamond" w:hAnsi="Garamond" w:cs="Arial"/>
          <w:i/>
          <w:iCs/>
          <w:sz w:val="28"/>
          <w:szCs w:val="28"/>
          <w:lang w:eastAsia="en-US"/>
        </w:rPr>
        <w:t>w sprawie warunków bytowych osób osadzonych w zakładach</w:t>
      </w:r>
      <w:r w:rsidRPr="00881CB0">
        <w:rPr>
          <w:rFonts w:ascii="Garamond" w:hAnsi="Garamond" w:cs="Arial"/>
          <w:sz w:val="28"/>
          <w:szCs w:val="28"/>
          <w:lang w:eastAsia="en-US"/>
        </w:rPr>
        <w:t xml:space="preserve"> </w:t>
      </w:r>
      <w:r w:rsidRPr="00881CB0">
        <w:rPr>
          <w:rFonts w:ascii="Garamond" w:hAnsi="Garamond" w:cs="Arial"/>
          <w:i/>
          <w:iCs/>
          <w:sz w:val="28"/>
          <w:szCs w:val="28"/>
          <w:lang w:eastAsia="en-US"/>
        </w:rPr>
        <w:t>karnych i aresztach śledczych</w:t>
      </w:r>
      <w:r w:rsidRPr="00881CB0">
        <w:rPr>
          <w:rFonts w:ascii="Garamond" w:hAnsi="Garamond" w:cs="Arial"/>
          <w:sz w:val="28"/>
          <w:szCs w:val="28"/>
          <w:lang w:eastAsia="en-US"/>
        </w:rPr>
        <w:t>.         W wyniku uznania zarzutu za uzasadniony pomieszczenie fryzjerni wyposażono zgodnie z wymogami wymienionego aktu prawnego.</w:t>
      </w:r>
    </w:p>
    <w:p w:rsidR="00881CB0" w:rsidRPr="00881CB0" w:rsidRDefault="00881CB0" w:rsidP="00881CB0">
      <w:pPr>
        <w:keepNext/>
        <w:tabs>
          <w:tab w:val="left" w:pos="2836"/>
        </w:tabs>
        <w:spacing w:line="360" w:lineRule="auto"/>
        <w:jc w:val="both"/>
        <w:outlineLvl w:val="2"/>
        <w:rPr>
          <w:rFonts w:cs="Tahoma"/>
          <w:b/>
          <w:sz w:val="40"/>
          <w:lang w:eastAsia="pl-PL"/>
        </w:rPr>
      </w:pPr>
      <w:bookmarkStart w:id="20" w:name="_Toc386125909"/>
      <w:bookmarkStart w:id="21" w:name="_Toc485388672"/>
      <w:bookmarkStart w:id="22" w:name="__RefHeading__3474_933653961"/>
      <w:r w:rsidRPr="00881CB0">
        <w:rPr>
          <w:rFonts w:ascii="Garamond" w:hAnsi="Garamond" w:cs="Arial"/>
          <w:b/>
          <w:sz w:val="28"/>
          <w:szCs w:val="28"/>
          <w:lang w:eastAsia="pl-PL"/>
        </w:rPr>
        <w:t>5.2.3. W zakresie zatrudnienia (SZT)</w:t>
      </w:r>
      <w:bookmarkEnd w:id="20"/>
      <w:bookmarkEnd w:id="21"/>
      <w:bookmarkEnd w:id="22"/>
    </w:p>
    <w:p w:rsidR="00881CB0" w:rsidRPr="00881CB0" w:rsidRDefault="00881CB0" w:rsidP="00E060B4">
      <w:pPr>
        <w:tabs>
          <w:tab w:val="left" w:pos="4210"/>
        </w:tabs>
        <w:spacing w:line="360" w:lineRule="auto"/>
        <w:jc w:val="both"/>
        <w:rPr>
          <w:rFonts w:cs="Tahoma"/>
          <w:lang w:eastAsia="en-US"/>
        </w:rPr>
      </w:pPr>
      <w:r w:rsidRPr="00881CB0">
        <w:rPr>
          <w:rFonts w:ascii="Garamond" w:eastAsia="Arial" w:hAnsi="Garamond" w:cs="Arial"/>
          <w:sz w:val="28"/>
          <w:szCs w:val="28"/>
          <w:lang w:eastAsia="en-US"/>
        </w:rPr>
        <w:t xml:space="preserve">- Dyrektor okręgowy Służby Więziennej uznał za uzasadnioną skargę skazanego dotyczącą naruszenia uprawnień pracowniczych, przysługujących z tytułu wykonywanej pracy w jednostce. W związku z powyższymi nieprawidłowościami         z funkcjonariuszem działu penitencjarnego przeprowadzono rozmowę instruktażową w zakresie zaprzestania praktyki podwójnego zatrudniania osadzonych oraz zasad udzielania zwolnień od pracy, zgodnie z rozporządzeniem Ministra Sprawiedliwości z dnia 9.02.2004 r. </w:t>
      </w:r>
      <w:r w:rsidRPr="00881CB0">
        <w:rPr>
          <w:rFonts w:ascii="Garamond" w:eastAsia="Arial" w:hAnsi="Garamond" w:cs="Arial"/>
          <w:i/>
          <w:iCs/>
          <w:sz w:val="28"/>
          <w:szCs w:val="28"/>
          <w:lang w:eastAsia="en-US"/>
        </w:rPr>
        <w:t>w sprawie szczegółowych zasad zatrudniania skazanych</w:t>
      </w:r>
      <w:r w:rsidRPr="00881CB0">
        <w:rPr>
          <w:rFonts w:ascii="Garamond" w:eastAsia="Arial" w:hAnsi="Garamond" w:cs="Arial"/>
          <w:sz w:val="28"/>
          <w:szCs w:val="28"/>
          <w:lang w:eastAsia="en-US"/>
        </w:rPr>
        <w:t>. Ponadto w planie szkoleń działu penitencjarnego w roku 2016 uwzględniono szkolenie z zakresu zatrudniania osadzonych. Skarga została omówiona na posiedzeniu kierownictwa jednostki oraz na odprawie penitencjarnej.</w:t>
      </w:r>
    </w:p>
    <w:p w:rsidR="00881CB0" w:rsidRPr="00881CB0" w:rsidRDefault="00881CB0" w:rsidP="00E060B4">
      <w:pPr>
        <w:tabs>
          <w:tab w:val="left" w:pos="4210"/>
        </w:tabs>
        <w:spacing w:line="360" w:lineRule="auto"/>
        <w:jc w:val="both"/>
        <w:rPr>
          <w:rFonts w:cs="Tahoma"/>
          <w:lang w:eastAsia="en-US"/>
        </w:rPr>
      </w:pPr>
      <w:r w:rsidRPr="00881CB0">
        <w:rPr>
          <w:rFonts w:ascii="Garamond" w:hAnsi="Garamond" w:cs="Arial"/>
          <w:sz w:val="28"/>
          <w:szCs w:val="28"/>
          <w:lang w:eastAsia="en-US"/>
        </w:rPr>
        <w:t>- Dyrektor okręgowy Służby Więziennej uznał za zasadne 2 zarzuty w przedmiocie niepoinformowania pisemnie osadzonego o cofnięciu zgody na zatrudnienie.         Jak ustalono, skarżący był zatrudniony odpłatnie przy pracach pielęgnacyjnych           u kontr</w:t>
      </w:r>
      <w:r w:rsidR="007F3722">
        <w:rPr>
          <w:rFonts w:ascii="Garamond" w:hAnsi="Garamond" w:cs="Arial"/>
          <w:sz w:val="28"/>
          <w:szCs w:val="28"/>
          <w:lang w:eastAsia="en-US"/>
        </w:rPr>
        <w:t>ahenta zewnętrznego w wymiarze 3/4</w:t>
      </w:r>
      <w:r w:rsidRPr="00881CB0">
        <w:rPr>
          <w:rFonts w:ascii="Garamond" w:hAnsi="Garamond" w:cs="Arial"/>
          <w:sz w:val="28"/>
          <w:szCs w:val="28"/>
          <w:lang w:eastAsia="en-US"/>
        </w:rPr>
        <w:t xml:space="preserve"> etatu. W trakcie okresu zatrudnienia skarżącego, kontrahent zewnętrzny wystąpił z prośbą o zmianę godzin pracy </w:t>
      </w:r>
      <w:r w:rsidRPr="00881CB0">
        <w:rPr>
          <w:rFonts w:ascii="Garamond" w:hAnsi="Garamond" w:cs="Arial"/>
          <w:sz w:val="28"/>
          <w:szCs w:val="28"/>
          <w:lang w:eastAsia="en-US"/>
        </w:rPr>
        <w:lastRenderedPageBreak/>
        <w:t xml:space="preserve">osadzonych ze względu na niekorzystne warunki atmosferyczne tj. wysokie temperatury, a następnie z pismem o wycofanie skazanych z zatrudnienia, również ze względu na niekorzystne warunki atmosferyczne i utrzymujące się wysokie temperatury, uniemożliwiające pracę osadzonych na otwartej przestrzeni. Z uwagi na to, że pismo w sprawie wycofania skazanych z zatrudnienia u kontrahenta zewnętrznego dotarło do funkcjonariusza odpowiedzialnego za zatrudnienie skazanych dopiero po kilku dniach od wskazanej w piśmie daty, osadzeni o  wycofaniu z zatrudnienia u kontrahenta zostali poinformowani z opóźnieniem. Wprawdzie kontrahent zewnętrzny poinformował jednostkę o wstrzymaniu osadzonych z zatrudnienia, to jednak informacja ta nie została skutecznie przekazana odpowiednim funkcjonariuszom, celem podjęcia dalszych działań. Osadzony o wycofaniu z zatrudnienia u kontrahenta nie został poinformowany </w:t>
      </w:r>
      <w:r w:rsidR="00BC773D">
        <w:rPr>
          <w:rFonts w:ascii="Garamond" w:hAnsi="Garamond" w:cs="Arial"/>
          <w:sz w:val="28"/>
          <w:szCs w:val="28"/>
          <w:lang w:eastAsia="en-US"/>
        </w:rPr>
        <w:t xml:space="preserve">    </w:t>
      </w:r>
      <w:r w:rsidRPr="00881CB0">
        <w:rPr>
          <w:rFonts w:ascii="Garamond" w:hAnsi="Garamond" w:cs="Arial"/>
          <w:sz w:val="28"/>
          <w:szCs w:val="28"/>
          <w:lang w:eastAsia="en-US"/>
        </w:rPr>
        <w:t>na piśmie. Ponadto skarżący został skierowany (na po</w:t>
      </w:r>
      <w:r w:rsidR="00CE5E44">
        <w:rPr>
          <w:rFonts w:ascii="Garamond" w:hAnsi="Garamond" w:cs="Arial"/>
          <w:sz w:val="28"/>
          <w:szCs w:val="28"/>
          <w:lang w:eastAsia="en-US"/>
        </w:rPr>
        <w:t>dstawie art. 123 § 3 k</w:t>
      </w:r>
      <w:r w:rsidRPr="00881CB0">
        <w:rPr>
          <w:rFonts w:ascii="Garamond" w:hAnsi="Garamond" w:cs="Arial"/>
          <w:sz w:val="28"/>
          <w:szCs w:val="28"/>
          <w:lang w:eastAsia="en-US"/>
        </w:rPr>
        <w:t xml:space="preserve">.k.w.) </w:t>
      </w:r>
      <w:r w:rsidR="00BF1AC6">
        <w:rPr>
          <w:rFonts w:ascii="Garamond" w:hAnsi="Garamond" w:cs="Arial"/>
          <w:sz w:val="28"/>
          <w:szCs w:val="28"/>
          <w:lang w:eastAsia="en-US"/>
        </w:rPr>
        <w:t xml:space="preserve">   </w:t>
      </w:r>
      <w:r w:rsidRPr="00881CB0">
        <w:rPr>
          <w:rFonts w:ascii="Garamond" w:hAnsi="Garamond" w:cs="Arial"/>
          <w:sz w:val="28"/>
          <w:szCs w:val="28"/>
          <w:lang w:eastAsia="en-US"/>
        </w:rPr>
        <w:t>do przyuczenia do wykonywania pracy w Instytucji Gospodarki Budżetowej,</w:t>
      </w:r>
      <w:r w:rsidR="00BF1AC6">
        <w:rPr>
          <w:rFonts w:ascii="Garamond" w:hAnsi="Garamond" w:cs="Arial"/>
          <w:sz w:val="28"/>
          <w:szCs w:val="28"/>
          <w:lang w:eastAsia="en-US"/>
        </w:rPr>
        <w:t xml:space="preserve"> </w:t>
      </w:r>
      <w:r w:rsidR="00413D89">
        <w:rPr>
          <w:rFonts w:ascii="Garamond" w:hAnsi="Garamond" w:cs="Arial"/>
          <w:sz w:val="28"/>
          <w:szCs w:val="28"/>
          <w:lang w:eastAsia="en-US"/>
        </w:rPr>
        <w:t xml:space="preserve"> jednak </w:t>
      </w:r>
      <w:r w:rsidRPr="00881CB0">
        <w:rPr>
          <w:rFonts w:ascii="Garamond" w:hAnsi="Garamond" w:cs="Arial"/>
          <w:sz w:val="28"/>
          <w:szCs w:val="28"/>
          <w:lang w:eastAsia="en-US"/>
        </w:rPr>
        <w:t xml:space="preserve">po kilkunastu dniach decyzją dyrektora jednostki został wycofany </w:t>
      </w:r>
      <w:r w:rsidR="00BF1AC6">
        <w:rPr>
          <w:rFonts w:ascii="Garamond" w:hAnsi="Garamond" w:cs="Arial"/>
          <w:sz w:val="28"/>
          <w:szCs w:val="28"/>
          <w:lang w:eastAsia="en-US"/>
        </w:rPr>
        <w:t xml:space="preserve">                </w:t>
      </w:r>
      <w:r w:rsidRPr="00881CB0">
        <w:rPr>
          <w:rFonts w:ascii="Garamond" w:hAnsi="Garamond" w:cs="Arial"/>
          <w:sz w:val="28"/>
          <w:szCs w:val="28"/>
          <w:lang w:eastAsia="en-US"/>
        </w:rPr>
        <w:t>z powyższego, gdyż w opinii pracodawcy nie posiadał odpowiednich predyspozycji do wykonywania robót brukarskich. W toku prowadzonego postępowania wyjaśniającego ustalono, iż skarżący również w tym przypadku nie został poinformowany na piśmie o wycofaniu z zatrudnienia. Postępowanie administracji zakładu w ww. przypadkach było niezgodne z</w:t>
      </w:r>
      <w:r w:rsidR="00CE5E44">
        <w:rPr>
          <w:rFonts w:ascii="Garamond" w:hAnsi="Garamond" w:cs="Arial"/>
          <w:sz w:val="28"/>
          <w:szCs w:val="28"/>
          <w:lang w:eastAsia="en-US"/>
        </w:rPr>
        <w:t xml:space="preserve"> art. 121 § 5 k</w:t>
      </w:r>
      <w:r w:rsidRPr="00881CB0">
        <w:rPr>
          <w:rFonts w:ascii="Garamond" w:hAnsi="Garamond" w:cs="Arial"/>
          <w:sz w:val="28"/>
          <w:szCs w:val="28"/>
          <w:lang w:eastAsia="en-US"/>
        </w:rPr>
        <w:t xml:space="preserve">.k.w. Poza </w:t>
      </w:r>
      <w:r w:rsidR="00413D89">
        <w:rPr>
          <w:rFonts w:ascii="Garamond" w:hAnsi="Garamond" w:cs="Arial"/>
          <w:sz w:val="28"/>
          <w:szCs w:val="28"/>
          <w:lang w:eastAsia="en-US"/>
        </w:rPr>
        <w:t xml:space="preserve">    </w:t>
      </w:r>
      <w:r w:rsidRPr="00881CB0">
        <w:rPr>
          <w:rFonts w:ascii="Garamond" w:hAnsi="Garamond" w:cs="Arial"/>
          <w:sz w:val="28"/>
          <w:szCs w:val="28"/>
          <w:lang w:eastAsia="en-US"/>
        </w:rPr>
        <w:t xml:space="preserve">powyższym wytyczne Dyrektora Generalnego Służby Więziennej z dnia </w:t>
      </w:r>
      <w:r w:rsidR="00413D89">
        <w:rPr>
          <w:rFonts w:ascii="Garamond" w:hAnsi="Garamond" w:cs="Arial"/>
          <w:sz w:val="28"/>
          <w:szCs w:val="28"/>
          <w:lang w:eastAsia="en-US"/>
        </w:rPr>
        <w:t>15 czerwca 2010 r.</w:t>
      </w:r>
      <w:r w:rsidRPr="00881CB0">
        <w:rPr>
          <w:rFonts w:ascii="Garamond" w:hAnsi="Garamond" w:cs="Arial"/>
          <w:sz w:val="28"/>
          <w:szCs w:val="28"/>
          <w:lang w:eastAsia="en-US"/>
        </w:rPr>
        <w:t>- WPZ-0530-1-10</w:t>
      </w:r>
      <w:r w:rsidR="00413D89">
        <w:rPr>
          <w:rFonts w:ascii="Garamond" w:hAnsi="Garamond" w:cs="Arial"/>
          <w:sz w:val="28"/>
          <w:szCs w:val="28"/>
          <w:lang w:eastAsia="en-US"/>
        </w:rPr>
        <w:t>/415 oraz z dnia 06.11.2015 r.</w:t>
      </w:r>
      <w:r w:rsidRPr="00881CB0">
        <w:rPr>
          <w:rFonts w:ascii="Garamond" w:hAnsi="Garamond" w:cs="Arial"/>
          <w:sz w:val="28"/>
          <w:szCs w:val="28"/>
          <w:lang w:eastAsia="en-US"/>
        </w:rPr>
        <w:t>- BP(z)-073/341/15/242</w:t>
      </w:r>
      <w:r w:rsidR="00413D89">
        <w:rPr>
          <w:rFonts w:ascii="Garamond" w:hAnsi="Garamond" w:cs="Arial"/>
          <w:sz w:val="28"/>
          <w:szCs w:val="28"/>
          <w:lang w:eastAsia="en-US"/>
        </w:rPr>
        <w:t xml:space="preserve">5 nakładają </w:t>
      </w:r>
      <w:r w:rsidRPr="00881CB0">
        <w:rPr>
          <w:rFonts w:ascii="Garamond" w:hAnsi="Garamond" w:cs="Arial"/>
          <w:sz w:val="28"/>
          <w:szCs w:val="28"/>
          <w:lang w:eastAsia="en-US"/>
        </w:rPr>
        <w:t>na funkcjonariusza odpowiedzialnego za zatrudnienie osadzonych</w:t>
      </w:r>
      <w:r w:rsidR="00413D89">
        <w:rPr>
          <w:rFonts w:ascii="Garamond" w:hAnsi="Garamond" w:cs="Arial"/>
          <w:sz w:val="28"/>
          <w:szCs w:val="28"/>
          <w:lang w:eastAsia="en-US"/>
        </w:rPr>
        <w:t xml:space="preserve">                  </w:t>
      </w:r>
      <w:r w:rsidRPr="00881CB0">
        <w:rPr>
          <w:rFonts w:ascii="Garamond" w:hAnsi="Garamond" w:cs="Arial"/>
          <w:sz w:val="28"/>
          <w:szCs w:val="28"/>
          <w:lang w:eastAsia="en-US"/>
        </w:rPr>
        <w:t xml:space="preserve"> w jednostce, obowiązek pisemnego informowania skazanych o wycofaniu </w:t>
      </w:r>
      <w:r w:rsidR="00413D89">
        <w:rPr>
          <w:rFonts w:ascii="Garamond" w:hAnsi="Garamond" w:cs="Arial"/>
          <w:sz w:val="28"/>
          <w:szCs w:val="28"/>
          <w:lang w:eastAsia="en-US"/>
        </w:rPr>
        <w:t xml:space="preserve">                         z zatrudnienia </w:t>
      </w:r>
      <w:r w:rsidRPr="00881CB0">
        <w:rPr>
          <w:rFonts w:ascii="Garamond" w:hAnsi="Garamond" w:cs="Arial"/>
          <w:sz w:val="28"/>
          <w:szCs w:val="28"/>
          <w:lang w:eastAsia="en-US"/>
        </w:rPr>
        <w:t>za pokwitowaniem, załączanym do akt osobowych c</w:t>
      </w:r>
      <w:r w:rsidR="002327C5">
        <w:rPr>
          <w:rFonts w:ascii="Garamond" w:hAnsi="Garamond" w:cs="Arial"/>
          <w:sz w:val="28"/>
          <w:szCs w:val="28"/>
          <w:lang w:eastAsia="en-US"/>
        </w:rPr>
        <w:t xml:space="preserve">zęść „C”. </w:t>
      </w:r>
      <w:r w:rsidR="00413D89">
        <w:rPr>
          <w:rFonts w:ascii="Garamond" w:hAnsi="Garamond" w:cs="Arial"/>
          <w:sz w:val="28"/>
          <w:szCs w:val="28"/>
          <w:lang w:eastAsia="en-US"/>
        </w:rPr>
        <w:t xml:space="preserve">             </w:t>
      </w:r>
      <w:r w:rsidR="002327C5">
        <w:rPr>
          <w:rFonts w:ascii="Garamond" w:hAnsi="Garamond" w:cs="Arial"/>
          <w:sz w:val="28"/>
          <w:szCs w:val="28"/>
          <w:lang w:eastAsia="en-US"/>
        </w:rPr>
        <w:t>Z uwagi na przejście n</w:t>
      </w:r>
      <w:r w:rsidRPr="00881CB0">
        <w:rPr>
          <w:rFonts w:ascii="Garamond" w:hAnsi="Garamond" w:cs="Arial"/>
          <w:sz w:val="28"/>
          <w:szCs w:val="28"/>
          <w:lang w:eastAsia="en-US"/>
        </w:rPr>
        <w:t>a zaopatrzenie emerytalne funkcjonariuszki odpowie</w:t>
      </w:r>
      <w:r w:rsidR="00413D89">
        <w:rPr>
          <w:rFonts w:ascii="Garamond" w:hAnsi="Garamond" w:cs="Arial"/>
          <w:sz w:val="28"/>
          <w:szCs w:val="28"/>
          <w:lang w:eastAsia="en-US"/>
        </w:rPr>
        <w:t xml:space="preserve">dzialnej we wskazanym </w:t>
      </w:r>
      <w:r w:rsidRPr="00881CB0">
        <w:rPr>
          <w:rFonts w:ascii="Garamond" w:hAnsi="Garamond" w:cs="Arial"/>
          <w:sz w:val="28"/>
          <w:szCs w:val="28"/>
          <w:lang w:eastAsia="en-US"/>
        </w:rPr>
        <w:t>w skardze okresie za zatrudnienie osadzonych, brak było możliwości wyciągnięcia konsekwencji dyscyplinarnych za nieprawidłowości wykazane w toku prowadzonego postępowania wyjaśniającego. Podjęto natomiast działania organizacyjne celem wykluczenia powtórzenia się powyższych sytuacji                      w przyszłości;</w:t>
      </w:r>
    </w:p>
    <w:p w:rsidR="00881CB0" w:rsidRPr="00881CB0" w:rsidRDefault="00881CB0" w:rsidP="00CE5E44">
      <w:pPr>
        <w:tabs>
          <w:tab w:val="left" w:pos="4210"/>
        </w:tabs>
        <w:spacing w:after="200" w:line="360" w:lineRule="auto"/>
        <w:jc w:val="both"/>
        <w:rPr>
          <w:rFonts w:ascii="Garamond" w:hAnsi="Garamond" w:cs="Arial"/>
          <w:sz w:val="28"/>
          <w:szCs w:val="28"/>
          <w:lang w:eastAsia="en-US"/>
        </w:rPr>
      </w:pPr>
      <w:r w:rsidRPr="00881CB0">
        <w:rPr>
          <w:rFonts w:ascii="Garamond" w:hAnsi="Garamond" w:cs="Arial"/>
          <w:sz w:val="28"/>
          <w:szCs w:val="28"/>
          <w:lang w:eastAsia="en-US"/>
        </w:rPr>
        <w:lastRenderedPageBreak/>
        <w:t xml:space="preserve">- Dyrektor okręgowy Służby Więziennej uznał za zasadną skargę w części dotyczącej zatrudnienia osadzonego na stanowisku porządkowego w sytuacji występowania ograniczeń zdrowotnych. Sprawa została omówiona w trakcie odprawy kierownictwa jednostki. Z funkcjonariuszem odpowiedzialnym </w:t>
      </w:r>
      <w:r w:rsidR="00E76A6D">
        <w:rPr>
          <w:rFonts w:ascii="Garamond" w:hAnsi="Garamond" w:cs="Arial"/>
          <w:sz w:val="28"/>
          <w:szCs w:val="28"/>
          <w:lang w:eastAsia="en-US"/>
        </w:rPr>
        <w:t xml:space="preserve">                 </w:t>
      </w:r>
      <w:r w:rsidRPr="00881CB0">
        <w:rPr>
          <w:rFonts w:ascii="Garamond" w:hAnsi="Garamond" w:cs="Arial"/>
          <w:sz w:val="28"/>
          <w:szCs w:val="28"/>
          <w:lang w:eastAsia="en-US"/>
        </w:rPr>
        <w:t>za powstałą nieprawidłowość przeprowadzono rozmowę instruktażową. Wprowadzono stosowne rozwiązania organizacyjne w zakresie uniknięcia analogicznych sytuacji w przyszłości.</w:t>
      </w:r>
    </w:p>
    <w:p w:rsidR="00881CB0" w:rsidRPr="00881CB0" w:rsidRDefault="00881CB0" w:rsidP="00881CB0">
      <w:pPr>
        <w:keepNext/>
        <w:tabs>
          <w:tab w:val="left" w:pos="2836"/>
        </w:tabs>
        <w:spacing w:line="360" w:lineRule="auto"/>
        <w:jc w:val="both"/>
        <w:outlineLvl w:val="2"/>
        <w:rPr>
          <w:rFonts w:ascii="Garamond" w:hAnsi="Garamond" w:cs="Arial"/>
          <w:b/>
          <w:sz w:val="28"/>
          <w:szCs w:val="28"/>
          <w:lang w:eastAsia="pl-PL"/>
        </w:rPr>
      </w:pPr>
      <w:bookmarkStart w:id="23" w:name="_Toc485388673"/>
      <w:bookmarkStart w:id="24" w:name="__RefHeading__3476_933653961"/>
      <w:r w:rsidRPr="00881CB0">
        <w:rPr>
          <w:rFonts w:ascii="Garamond" w:hAnsi="Garamond" w:cs="Arial"/>
          <w:b/>
          <w:sz w:val="28"/>
          <w:szCs w:val="28"/>
          <w:lang w:eastAsia="pl-PL"/>
        </w:rPr>
        <w:t>5.2.4. W zakresie depozytów (SDT)</w:t>
      </w:r>
      <w:bookmarkEnd w:id="23"/>
      <w:bookmarkEnd w:id="24"/>
    </w:p>
    <w:p w:rsidR="00881CB0" w:rsidRPr="00881CB0" w:rsidRDefault="00881CB0" w:rsidP="00CE5E44">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Dyrektor okręgowy Służby Więziennej uznał za zasadną skargę w zakresie postępowania z depozytem wartościowym. W wyniku przeprowadzonych czynnośc</w:t>
      </w:r>
      <w:r w:rsidR="002327C5">
        <w:rPr>
          <w:rFonts w:ascii="Garamond" w:hAnsi="Garamond" w:cs="Arial"/>
          <w:sz w:val="28"/>
          <w:szCs w:val="28"/>
          <w:lang w:eastAsia="en-US"/>
        </w:rPr>
        <w:t xml:space="preserve">i wyjaśniających ustalono, że w </w:t>
      </w:r>
      <w:r w:rsidRPr="00881CB0">
        <w:rPr>
          <w:rFonts w:ascii="Garamond" w:hAnsi="Garamond" w:cs="Arial"/>
          <w:sz w:val="28"/>
          <w:szCs w:val="28"/>
          <w:lang w:eastAsia="en-US"/>
        </w:rPr>
        <w:t xml:space="preserve">magazynie depozytowym jednostki brak jest telefonu komórkowego oraz kluczy stanowiących własność skarżącego. Po przeprowadzeniu postępowania wyjaśniającego zdecydowano o zwrocie skarżącemu wartości </w:t>
      </w:r>
      <w:r w:rsidR="002327C5">
        <w:rPr>
          <w:rFonts w:ascii="Garamond" w:hAnsi="Garamond" w:cs="Arial"/>
          <w:sz w:val="28"/>
          <w:szCs w:val="28"/>
          <w:lang w:eastAsia="en-US"/>
        </w:rPr>
        <w:t xml:space="preserve">          </w:t>
      </w:r>
      <w:r w:rsidRPr="00881CB0">
        <w:rPr>
          <w:rFonts w:ascii="Garamond" w:hAnsi="Garamond" w:cs="Arial"/>
          <w:sz w:val="28"/>
          <w:szCs w:val="28"/>
          <w:lang w:eastAsia="en-US"/>
        </w:rPr>
        <w:t>ww. przedmi</w:t>
      </w:r>
      <w:r w:rsidR="00CE5E44">
        <w:rPr>
          <w:rFonts w:ascii="Garamond" w:hAnsi="Garamond" w:cs="Arial"/>
          <w:sz w:val="28"/>
          <w:szCs w:val="28"/>
          <w:lang w:eastAsia="en-US"/>
        </w:rPr>
        <w:t xml:space="preserve">otów zgodnie z wyceną określoną </w:t>
      </w:r>
      <w:r w:rsidRPr="00881CB0">
        <w:rPr>
          <w:rFonts w:ascii="Garamond" w:hAnsi="Garamond" w:cs="Arial"/>
          <w:sz w:val="28"/>
          <w:szCs w:val="28"/>
          <w:lang w:eastAsia="en-US"/>
        </w:rPr>
        <w:t>w dokumentacji depozytowej.</w:t>
      </w:r>
      <w:r w:rsidR="00CE5E44">
        <w:rPr>
          <w:rFonts w:ascii="Garamond" w:hAnsi="Garamond" w:cs="Arial"/>
          <w:sz w:val="28"/>
          <w:szCs w:val="28"/>
          <w:lang w:eastAsia="en-US"/>
        </w:rPr>
        <w:br/>
      </w:r>
      <w:r w:rsidRPr="00881CB0">
        <w:rPr>
          <w:rFonts w:ascii="Garamond" w:hAnsi="Garamond" w:cs="Arial"/>
          <w:sz w:val="28"/>
          <w:szCs w:val="28"/>
          <w:lang w:eastAsia="en-US"/>
        </w:rPr>
        <w:t xml:space="preserve">Dyrektor jednostki odstąpił od przeprowadzenia postępowania dyscyplinarnego </w:t>
      </w:r>
      <w:r w:rsidR="00CE5E44">
        <w:rPr>
          <w:rFonts w:ascii="Garamond" w:hAnsi="Garamond" w:cs="Arial"/>
          <w:sz w:val="28"/>
          <w:szCs w:val="28"/>
          <w:lang w:eastAsia="en-US"/>
        </w:rPr>
        <w:t xml:space="preserve">              </w:t>
      </w:r>
      <w:r w:rsidRPr="00881CB0">
        <w:rPr>
          <w:rFonts w:ascii="Garamond" w:hAnsi="Garamond" w:cs="Arial"/>
          <w:sz w:val="28"/>
          <w:szCs w:val="28"/>
          <w:lang w:eastAsia="en-US"/>
        </w:rPr>
        <w:t>w powyższym zakresie, poprzestając na przeprowadzeniu rozmów dyscyplinujących z funkcjonariuszami winnymi powstałych uchybień;</w:t>
      </w:r>
    </w:p>
    <w:p w:rsidR="00881CB0" w:rsidRPr="00881CB0" w:rsidRDefault="00881CB0" w:rsidP="00CE5E44">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Dyrektor okręgowy Służby Więziennej uznał za zasadną skargę dotyczącą niewłaściwego sposobu zapakowania rzeczy skazanego do wysyłki. Przygotowania paczki dokonał magazynier, bez obecności skazanego. Natomiast z obowiązujących przepisów wynika, że skazany pakuje swoje rzeczy w obecności magazyniera. Stanowisko dyrektora okręgowego Służb</w:t>
      </w:r>
      <w:r w:rsidR="002327C5">
        <w:rPr>
          <w:rFonts w:ascii="Garamond" w:hAnsi="Garamond" w:cs="Arial"/>
          <w:sz w:val="28"/>
          <w:szCs w:val="28"/>
          <w:lang w:eastAsia="en-US"/>
        </w:rPr>
        <w:t xml:space="preserve">y Więziennej zostało omówione                  z </w:t>
      </w:r>
      <w:r w:rsidRPr="00881CB0">
        <w:rPr>
          <w:rFonts w:ascii="Garamond" w:hAnsi="Garamond" w:cs="Arial"/>
          <w:sz w:val="28"/>
          <w:szCs w:val="28"/>
          <w:lang w:eastAsia="en-US"/>
        </w:rPr>
        <w:t xml:space="preserve">funkcjonariuszami działu kwatermistrzowskiego jednostki. Ponadto w jednostce przyjęto zasadę, że każdorazowo w przypadku przesyłania rzeczy skazanego </w:t>
      </w:r>
      <w:r w:rsidR="00E76A6D">
        <w:rPr>
          <w:rFonts w:ascii="Garamond" w:hAnsi="Garamond" w:cs="Arial"/>
          <w:sz w:val="28"/>
          <w:szCs w:val="28"/>
          <w:lang w:eastAsia="en-US"/>
        </w:rPr>
        <w:t xml:space="preserve">           </w:t>
      </w:r>
      <w:r w:rsidRPr="00881CB0">
        <w:rPr>
          <w:rFonts w:ascii="Garamond" w:hAnsi="Garamond" w:cs="Arial"/>
          <w:sz w:val="28"/>
          <w:szCs w:val="28"/>
          <w:lang w:eastAsia="en-US"/>
        </w:rPr>
        <w:t>do wskazanego przez niego odbiorcy, ich pakowania będzie dokonywał sam osadzony w obecności magazyniera;</w:t>
      </w:r>
    </w:p>
    <w:p w:rsidR="00881CB0" w:rsidRPr="00881CB0" w:rsidRDefault="00881CB0" w:rsidP="00CE5E44">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Dyrektor zakładu karnego uznał za zasadną skargę osadzonego dotyczącą opóźnień w przesłaniu, w ślad za osadzonym, pozostawionych w jednostce rzeczy własnych. W toku podjętych czynności wyjaśniających ustalono, że w związku           z koniecznością udzielenia skazanemu natychmiastowej opieki medycznej                w szpitalu więziennym skazany pozostawił w celi oraz depozycie rzeczy własne. </w:t>
      </w:r>
      <w:r w:rsidRPr="00881CB0">
        <w:rPr>
          <w:rFonts w:ascii="Garamond" w:hAnsi="Garamond" w:cs="Arial"/>
          <w:sz w:val="28"/>
          <w:szCs w:val="28"/>
          <w:lang w:eastAsia="en-US"/>
        </w:rPr>
        <w:lastRenderedPageBreak/>
        <w:t>Następnie rzeczy jego zostały spisane</w:t>
      </w:r>
      <w:r w:rsidR="00E76A6D">
        <w:rPr>
          <w:rFonts w:ascii="Garamond" w:hAnsi="Garamond" w:cs="Arial"/>
          <w:sz w:val="28"/>
          <w:szCs w:val="28"/>
          <w:lang w:eastAsia="en-US"/>
        </w:rPr>
        <w:t>,</w:t>
      </w:r>
      <w:r w:rsidRPr="00881CB0">
        <w:rPr>
          <w:rFonts w:ascii="Garamond" w:hAnsi="Garamond" w:cs="Arial"/>
          <w:sz w:val="28"/>
          <w:szCs w:val="28"/>
          <w:lang w:eastAsia="en-US"/>
        </w:rPr>
        <w:t xml:space="preserve"> spakowane i przesłane do jednostki,             w której przebywał po leczeniu, lecz odbyło się to z opóźnieniem, po terminie określonym w przepisach zarządzenia Dyrektora Generalnego Służby Więziennej     w sprawie transportowania skazanych. W związku z zasadnością skargi przeprowadzono rozmowę instruktażową z funkcjonariuszem działu kwatermistrzowskiego, który został zobowiązany do rzetelnego wykonywania obowiązków służbowych i kontrolowania informacji dostępnych w systemie</w:t>
      </w:r>
      <w:r w:rsidR="00712D21">
        <w:rPr>
          <w:rFonts w:ascii="Garamond" w:hAnsi="Garamond" w:cs="Arial"/>
          <w:sz w:val="28"/>
          <w:szCs w:val="28"/>
          <w:lang w:eastAsia="en-US"/>
        </w:rPr>
        <w:t xml:space="preserve">                 Noe.NET</w:t>
      </w:r>
      <w:r w:rsidRPr="00881CB0">
        <w:rPr>
          <w:rFonts w:ascii="Garamond" w:hAnsi="Garamond" w:cs="Arial"/>
          <w:sz w:val="28"/>
          <w:szCs w:val="28"/>
          <w:lang w:eastAsia="en-US"/>
        </w:rPr>
        <w:t>. Przedmiot skargi został omówiony podczas szkolenia funkcjonariuszy działu kwatermistrzowskiego;</w:t>
      </w:r>
    </w:p>
    <w:p w:rsidR="00881CB0" w:rsidRPr="00881CB0" w:rsidRDefault="00881CB0" w:rsidP="00712D21">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osadzony w swej skardze poinformował, iż mimo upływu trzech tygodni od czasu jego transportu nie przekazano do docelowej jednostki jego telewizora, który pozostał w depozycie innej jednostki. Ustalono, że skarżący w dniu 4.11.2015 r. </w:t>
      </w:r>
      <w:r w:rsidR="00BC773D">
        <w:rPr>
          <w:rFonts w:ascii="Garamond" w:hAnsi="Garamond" w:cs="Arial"/>
          <w:sz w:val="28"/>
          <w:szCs w:val="28"/>
          <w:lang w:eastAsia="en-US"/>
        </w:rPr>
        <w:t xml:space="preserve">  </w:t>
      </w:r>
      <w:r w:rsidRPr="00881CB0">
        <w:rPr>
          <w:rFonts w:ascii="Garamond" w:hAnsi="Garamond" w:cs="Arial"/>
          <w:sz w:val="28"/>
          <w:szCs w:val="28"/>
          <w:lang w:eastAsia="en-US"/>
        </w:rPr>
        <w:t xml:space="preserve">był przetransportowany konwojem realizowanym przez Policję, a odbiornik telewizyjny należący do osadzonego został dostarczony do jednostki docelowej </w:t>
      </w:r>
      <w:r w:rsidR="00BC773D">
        <w:rPr>
          <w:rFonts w:ascii="Garamond" w:hAnsi="Garamond" w:cs="Arial"/>
          <w:sz w:val="28"/>
          <w:szCs w:val="28"/>
          <w:lang w:eastAsia="en-US"/>
        </w:rPr>
        <w:t xml:space="preserve">      </w:t>
      </w:r>
      <w:r w:rsidRPr="00881CB0">
        <w:rPr>
          <w:rFonts w:ascii="Garamond" w:hAnsi="Garamond" w:cs="Arial"/>
          <w:sz w:val="28"/>
          <w:szCs w:val="28"/>
          <w:lang w:eastAsia="en-US"/>
        </w:rPr>
        <w:t>w dniu 16.12.2015 r. W związku z faktem, iż nastąpiło opóźnienie w przekazaniu depozytu dyrektor aresztu śledczego uznał skargę za zasadną;</w:t>
      </w:r>
    </w:p>
    <w:p w:rsidR="00881CB0" w:rsidRPr="00881CB0" w:rsidRDefault="00881CB0" w:rsidP="00712D21">
      <w:pPr>
        <w:spacing w:after="200" w:line="360" w:lineRule="auto"/>
        <w:jc w:val="both"/>
        <w:rPr>
          <w:rFonts w:ascii="Garamond" w:hAnsi="Garamond" w:cs="Arial"/>
          <w:sz w:val="28"/>
          <w:szCs w:val="28"/>
          <w:lang w:eastAsia="en-US"/>
        </w:rPr>
      </w:pPr>
      <w:r w:rsidRPr="00881CB0">
        <w:rPr>
          <w:rFonts w:ascii="Garamond" w:hAnsi="Garamond" w:cs="Arial"/>
          <w:sz w:val="28"/>
          <w:szCs w:val="28"/>
          <w:lang w:eastAsia="en-US"/>
        </w:rPr>
        <w:t>- Dyrektor aresztu śledczego uznał za zasadną skargę dotyczącą niewłaściwego postępowania ze środkami pieniężnymi osadzonego. W związku z tym, że w dniu przetransportowania wnoszącego skargę do innej jednostki penitencjarnej funkcjonariusze Policji odmówili przewozu jego telewizora, osadzony zwrócił się         z prośbą do dyrektora aresztu o dostar</w:t>
      </w:r>
      <w:r w:rsidR="007F3722">
        <w:rPr>
          <w:rFonts w:ascii="Garamond" w:hAnsi="Garamond" w:cs="Arial"/>
          <w:sz w:val="28"/>
          <w:szCs w:val="28"/>
          <w:lang w:eastAsia="en-US"/>
        </w:rPr>
        <w:t xml:space="preserve">czenie odbiornika telewizyjnego </w:t>
      </w:r>
      <w:r w:rsidRPr="00881CB0">
        <w:rPr>
          <w:rFonts w:ascii="Garamond" w:hAnsi="Garamond" w:cs="Arial"/>
          <w:sz w:val="28"/>
          <w:szCs w:val="28"/>
          <w:lang w:eastAsia="en-US"/>
        </w:rPr>
        <w:t xml:space="preserve">do jednostki, do której został przetransportowany. Prośbę załatwiono pozytywnie,       w związku z czym skarżący wpłacił na konto aresztu środki pieniężne tytułem „przesłania telewizora”. Jednakże pracownik działu finansowego odesłał środki pieniężne z powrotem do jednostki penitencjarnej, do której skarżący został przetransportowany. W późniejszym czasie odbiornik telewizyjny przesłano osadzonemu na koszt aresztu. W związku z uznaniem skargi za zasadną </w:t>
      </w:r>
      <w:r w:rsidR="00E76A6D">
        <w:rPr>
          <w:rFonts w:ascii="Garamond" w:hAnsi="Garamond" w:cs="Arial"/>
          <w:sz w:val="28"/>
          <w:szCs w:val="28"/>
          <w:lang w:eastAsia="en-US"/>
        </w:rPr>
        <w:t xml:space="preserve">                 </w:t>
      </w:r>
      <w:r w:rsidRPr="00881CB0">
        <w:rPr>
          <w:rFonts w:ascii="Garamond" w:hAnsi="Garamond" w:cs="Arial"/>
          <w:sz w:val="28"/>
          <w:szCs w:val="28"/>
          <w:lang w:eastAsia="en-US"/>
        </w:rPr>
        <w:t>na polecenie dyrektora jednostki główny księgowy przeprowadził rozmowę instruktażową ze starszym inspektorem działu finansowego oraz przeprowadził szkolenie dla funkcjonariuszy i pracowników działu finansowego.</w:t>
      </w:r>
    </w:p>
    <w:p w:rsidR="00881CB0" w:rsidRPr="00881CB0" w:rsidRDefault="00881CB0" w:rsidP="00881CB0">
      <w:pPr>
        <w:keepNext/>
        <w:tabs>
          <w:tab w:val="left" w:pos="2836"/>
        </w:tabs>
        <w:spacing w:line="360" w:lineRule="auto"/>
        <w:jc w:val="both"/>
        <w:outlineLvl w:val="2"/>
        <w:rPr>
          <w:rFonts w:cs="Tahoma"/>
          <w:b/>
          <w:sz w:val="40"/>
          <w:lang w:eastAsia="pl-PL"/>
        </w:rPr>
      </w:pPr>
      <w:bookmarkStart w:id="25" w:name="_Toc386125898"/>
      <w:bookmarkStart w:id="26" w:name="_Toc485388674"/>
      <w:bookmarkStart w:id="27" w:name="__RefHeading__3478_933653961"/>
      <w:r w:rsidRPr="00881CB0">
        <w:rPr>
          <w:rFonts w:ascii="Garamond" w:hAnsi="Garamond" w:cs="Arial"/>
          <w:b/>
          <w:sz w:val="28"/>
          <w:szCs w:val="28"/>
          <w:lang w:eastAsia="ar-SA"/>
        </w:rPr>
        <w:lastRenderedPageBreak/>
        <w:t>5.2.4. W zakresie decyzji komisji penitencjarnej (SDK)</w:t>
      </w:r>
      <w:bookmarkEnd w:id="25"/>
      <w:bookmarkEnd w:id="26"/>
      <w:bookmarkEnd w:id="27"/>
    </w:p>
    <w:p w:rsidR="00881CB0" w:rsidRPr="00881CB0" w:rsidRDefault="00881CB0" w:rsidP="00712D21">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Dyrektor okręgowy Służby Więziennej uznał za uzasadnioną skargę w zakresie decyzji komisji penitencjarnej. W uzasadnieniu wskazano, iż decyzja komisji penitencjarnej w przedmiocie skierowania osadzonego do odbywania kary pozbawienia wolności w warunkach zakładu karnego typu zamkniętego nie wyc</w:t>
      </w:r>
      <w:r w:rsidR="00712D21">
        <w:rPr>
          <w:rFonts w:ascii="Garamond" w:hAnsi="Garamond" w:cs="Arial"/>
          <w:sz w:val="28"/>
          <w:szCs w:val="28"/>
          <w:lang w:eastAsia="en-US"/>
        </w:rPr>
        <w:t>zerpała przesłanek art. 89 § 4 k</w:t>
      </w:r>
      <w:r w:rsidRPr="00881CB0">
        <w:rPr>
          <w:rFonts w:ascii="Garamond" w:hAnsi="Garamond" w:cs="Arial"/>
          <w:sz w:val="28"/>
          <w:szCs w:val="28"/>
          <w:lang w:eastAsia="en-US"/>
        </w:rPr>
        <w:t xml:space="preserve">.k.w. W celu wyeliminowania w przyszłości stwierdzonego uchybienia przeprowadzono szkolenie dla członków komisji penitencjarnych w zakresie właściwego klasyfikowania osadzonych, a skarga </w:t>
      </w:r>
      <w:r w:rsidR="00BF1AC6">
        <w:rPr>
          <w:rFonts w:ascii="Garamond" w:hAnsi="Garamond" w:cs="Arial"/>
          <w:sz w:val="28"/>
          <w:szCs w:val="28"/>
          <w:lang w:eastAsia="en-US"/>
        </w:rPr>
        <w:t xml:space="preserve"> </w:t>
      </w:r>
      <w:r w:rsidRPr="00881CB0">
        <w:rPr>
          <w:rFonts w:ascii="Garamond" w:hAnsi="Garamond" w:cs="Arial"/>
          <w:sz w:val="28"/>
          <w:szCs w:val="28"/>
          <w:lang w:eastAsia="en-US"/>
        </w:rPr>
        <w:t>została omówiona na odprawie penitencjarno–ochronnej;</w:t>
      </w:r>
    </w:p>
    <w:p w:rsidR="00881CB0" w:rsidRDefault="00881CB0" w:rsidP="00712D21">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Dyrektor okręgowy Służby Więziennej uznał za uzasadnioną skargę osadzonego, dotyczącą decyzji komisji penitencjarnej o awansowaniu skazanego do zakładu karnego typu półotwartego, pomimo sporządzenia wniosku o wymierzenie mu </w:t>
      </w:r>
      <w:r w:rsidR="007F3722">
        <w:rPr>
          <w:rFonts w:ascii="Garamond" w:hAnsi="Garamond" w:cs="Arial"/>
          <w:sz w:val="28"/>
          <w:szCs w:val="28"/>
          <w:lang w:eastAsia="en-US"/>
        </w:rPr>
        <w:t xml:space="preserve"> </w:t>
      </w:r>
      <w:r w:rsidRPr="00881CB0">
        <w:rPr>
          <w:rFonts w:ascii="Garamond" w:hAnsi="Garamond" w:cs="Arial"/>
          <w:sz w:val="28"/>
          <w:szCs w:val="28"/>
          <w:lang w:eastAsia="en-US"/>
        </w:rPr>
        <w:t xml:space="preserve">kary dyscyplinarnej. W celu wyeliminowania w przyszłości stwierdzonego uchybienia podjęto następujące działania: przeprowadzono szkolenie dla członków komisji penitencjarnych w zakresie właściwego klasyfikowania osadzonych, skarga została omówiona na odprawie penitencjarno–ochronnej, dyrektor jednostki </w:t>
      </w:r>
      <w:r w:rsidR="007F3722">
        <w:rPr>
          <w:rFonts w:ascii="Garamond" w:hAnsi="Garamond" w:cs="Arial"/>
          <w:sz w:val="28"/>
          <w:szCs w:val="28"/>
          <w:lang w:eastAsia="en-US"/>
        </w:rPr>
        <w:t xml:space="preserve">     </w:t>
      </w:r>
      <w:r w:rsidRPr="00881CB0">
        <w:rPr>
          <w:rFonts w:ascii="Garamond" w:hAnsi="Garamond" w:cs="Arial"/>
          <w:sz w:val="28"/>
          <w:szCs w:val="28"/>
          <w:lang w:eastAsia="en-US"/>
        </w:rPr>
        <w:t>objął szczególnym nadzorem problematykę</w:t>
      </w:r>
      <w:r w:rsidRPr="00881CB0">
        <w:rPr>
          <w:rFonts w:ascii="Garamond" w:hAnsi="Garamond" w:cs="Tahoma"/>
          <w:sz w:val="28"/>
          <w:szCs w:val="28"/>
          <w:lang w:eastAsia="en-US"/>
        </w:rPr>
        <w:t xml:space="preserve"> </w:t>
      </w:r>
      <w:r w:rsidRPr="00881CB0">
        <w:rPr>
          <w:rFonts w:ascii="Garamond" w:hAnsi="Garamond" w:cs="Arial"/>
          <w:sz w:val="28"/>
          <w:szCs w:val="28"/>
          <w:lang w:eastAsia="en-US"/>
        </w:rPr>
        <w:t>związaną z przedmiotem skargi.</w:t>
      </w:r>
    </w:p>
    <w:p w:rsidR="00712D21" w:rsidRPr="00BC773D" w:rsidRDefault="00712D21" w:rsidP="00712D21">
      <w:pPr>
        <w:spacing w:line="360" w:lineRule="auto"/>
        <w:jc w:val="both"/>
        <w:rPr>
          <w:rFonts w:cs="Tahoma"/>
          <w:sz w:val="16"/>
          <w:szCs w:val="16"/>
          <w:lang w:eastAsia="en-US"/>
        </w:rPr>
      </w:pPr>
    </w:p>
    <w:p w:rsidR="00881CB0" w:rsidRPr="00881CB0" w:rsidRDefault="00881CB0" w:rsidP="00881CB0">
      <w:pPr>
        <w:keepNext/>
        <w:tabs>
          <w:tab w:val="left" w:pos="2836"/>
        </w:tabs>
        <w:jc w:val="both"/>
        <w:outlineLvl w:val="2"/>
        <w:rPr>
          <w:rFonts w:ascii="Garamond" w:hAnsi="Garamond" w:cs="Arial"/>
          <w:b/>
          <w:sz w:val="28"/>
          <w:szCs w:val="28"/>
          <w:lang w:eastAsia="pl-PL"/>
        </w:rPr>
      </w:pPr>
      <w:bookmarkStart w:id="28" w:name="_Toc386125895"/>
      <w:bookmarkStart w:id="29" w:name="_Toc485388675"/>
      <w:bookmarkStart w:id="30" w:name="__RefHeading__3480_933653961"/>
      <w:r w:rsidRPr="00881CB0">
        <w:rPr>
          <w:rFonts w:ascii="Garamond" w:hAnsi="Garamond" w:cs="Arial"/>
          <w:b/>
          <w:sz w:val="28"/>
          <w:szCs w:val="28"/>
          <w:lang w:eastAsia="pl-PL"/>
        </w:rPr>
        <w:t>5.2.5. W zakresie traktowania przez funkcjonariuszy i pracowników SW (STF)</w:t>
      </w:r>
      <w:bookmarkEnd w:id="28"/>
      <w:bookmarkEnd w:id="29"/>
      <w:bookmarkEnd w:id="30"/>
    </w:p>
    <w:p w:rsidR="00881CB0" w:rsidRPr="00881CB0" w:rsidRDefault="00881CB0" w:rsidP="00712D21">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Dyrektor okręgowy Służby Więziennej uznał za zasadną skargę dotyczącą zaniechania określonego działania, polegającego na błędnym obliczeniu terminu nabycia uprawnień do warunkowego przedterminowego zwolnienia. Skazanemu nie uwzględniono wyroków z poprzedniego pobytu, z których skazany został warunkowo przedterminowo zwolniony. Zasadność przedmiotowej skargi omówiono na posiedzeniu kierownictwa oraz odprawie penitencjarno-ochronnej. Zwiększono nacisk na kwestię analizy teczek osobopoznawczych oraz prawidłowe obliczanie terminów penitencjarnych w trakcie kontroli wewnętrznych. Ponadto przeprowadzona została rozmowa instruktażowa z wychowawcą działu penitencj</w:t>
      </w:r>
      <w:r w:rsidR="00E76A6D">
        <w:rPr>
          <w:rFonts w:ascii="Garamond" w:hAnsi="Garamond" w:cs="Arial"/>
          <w:sz w:val="28"/>
          <w:szCs w:val="28"/>
          <w:lang w:eastAsia="en-US"/>
        </w:rPr>
        <w:t>arnego, który był odpowiedzialny</w:t>
      </w:r>
      <w:r w:rsidRPr="00881CB0">
        <w:rPr>
          <w:rFonts w:ascii="Garamond" w:hAnsi="Garamond" w:cs="Arial"/>
          <w:sz w:val="28"/>
          <w:szCs w:val="28"/>
          <w:lang w:eastAsia="en-US"/>
        </w:rPr>
        <w:t xml:space="preserve"> za zaistniałą nieprawidłowość;</w:t>
      </w:r>
    </w:p>
    <w:p w:rsidR="00881CB0" w:rsidRPr="00881CB0" w:rsidRDefault="00881CB0" w:rsidP="00712D21">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Dyrektor okręgowy Służby Więziennej uznał za zasadną skargę osadzonego dotyczącą uniemożliwienia skazanemu skorzystania z toalety w trakcie pobytu           </w:t>
      </w:r>
      <w:r w:rsidRPr="00881CB0">
        <w:rPr>
          <w:rFonts w:ascii="Garamond" w:hAnsi="Garamond" w:cs="Arial"/>
          <w:sz w:val="28"/>
          <w:szCs w:val="28"/>
          <w:lang w:eastAsia="en-US"/>
        </w:rPr>
        <w:lastRenderedPageBreak/>
        <w:t>w celi izolacyjnej. W toku podjętych czynności wyjaśniających ustalono,                   że przebywając w celi zabezpieczającej skazany zgłosił potrzebę skorzystania            z toalety. Jak ustalono, od czasu zgłoszenia prośby przez skazanego do czasu jej realizacji minęło</w:t>
      </w:r>
      <w:r w:rsidR="00E76A6D">
        <w:rPr>
          <w:rFonts w:ascii="Garamond" w:hAnsi="Garamond" w:cs="Arial"/>
          <w:sz w:val="28"/>
          <w:szCs w:val="28"/>
          <w:lang w:eastAsia="en-US"/>
        </w:rPr>
        <w:t xml:space="preserve"> półtorej godziny. Pomimo, iż w </w:t>
      </w:r>
      <w:r w:rsidRPr="00881CB0">
        <w:rPr>
          <w:rFonts w:ascii="Garamond" w:hAnsi="Garamond" w:cs="Arial"/>
          <w:sz w:val="28"/>
          <w:szCs w:val="28"/>
          <w:lang w:eastAsia="en-US"/>
        </w:rPr>
        <w:t>prowadzonym postępowaniu skargowym nie dopatrzono się celowości działania funkcjonariuszy to nie stwierdzono również istotnych okoliczności jakie miały wpływ na czas w spełnieniu prośby skarżącego. W związku z zasadnością skargi zobowiązano funkcjonariuszy realizujących i nadzorujących stosowanie środków przymusu bezpośredniego do bezzwłocznego realizowania próśb osadzonych, wobec których stosowany jest środek przymusu w postaci umieszczenia w celi zabezpieczającej, dotyczących potrzeby skorzystania z toalety, o ile nie wykonują oni czynności służbowych, które wymagają pilnej realizacji dla zachowania porządku i bezpieczeństwa jednostki;</w:t>
      </w:r>
    </w:p>
    <w:p w:rsidR="00881CB0" w:rsidRPr="00881CB0" w:rsidRDefault="00881CB0" w:rsidP="00712D21">
      <w:pPr>
        <w:spacing w:line="360" w:lineRule="auto"/>
        <w:jc w:val="both"/>
        <w:rPr>
          <w:rFonts w:cs="Tahoma"/>
          <w:lang w:eastAsia="en-US"/>
        </w:rPr>
      </w:pPr>
      <w:r w:rsidRPr="00881CB0">
        <w:rPr>
          <w:rFonts w:ascii="Garamond" w:hAnsi="Garamond" w:cs="Arial"/>
          <w:sz w:val="28"/>
          <w:szCs w:val="28"/>
          <w:lang w:eastAsia="en-US"/>
        </w:rPr>
        <w:t>- Dyrektor aresztu śledczego uznał za zasadną skargę dotycząc</w:t>
      </w:r>
      <w:r w:rsidR="00E76A6D">
        <w:rPr>
          <w:rFonts w:ascii="Garamond" w:hAnsi="Garamond" w:cs="Arial"/>
          <w:sz w:val="28"/>
          <w:szCs w:val="28"/>
          <w:lang w:eastAsia="en-US"/>
        </w:rPr>
        <w:t>ą</w:t>
      </w:r>
      <w:r w:rsidRPr="00881CB0">
        <w:rPr>
          <w:rFonts w:ascii="Garamond" w:hAnsi="Garamond" w:cs="Arial"/>
          <w:sz w:val="28"/>
          <w:szCs w:val="28"/>
          <w:lang w:eastAsia="en-US"/>
        </w:rPr>
        <w:t xml:space="preserve"> nieudzielenia osadzonemu pomocy po upadku z wózka inwalidzkiego. Jak ustalono w toku przeprowadzonych czynności wyjaśniających, funkcjonariusze pełniący służbę nocną nie zareagowali na sytuację, w której osadzony poruszający się na wózku inwalidzkim siedzi pod kratą koszową na podłodze i nie podjęli czynności zmierzających do udzielenia pomocy osadzonemu pomimo, iż sytuacja ta była możliwa do zaobserwowania dzięki kamerze. Skarga została omówiona podczas odprawy kierownictwa. Dyrektor aresztu śledczego wszczął postępowania dyscyplinarne przeciwko funkcjonariuszom w związku z naruszeniem dyscypliny służbowej poprzez niedopełnienie obowiązków służbowych albo przekroczeniem uprawnień określonych w przepisach prawa zgodnie z art. 230 ust. 2 i ust. 3 pkt </w:t>
      </w:r>
      <w:r w:rsidR="00BF1AC6">
        <w:rPr>
          <w:rFonts w:ascii="Garamond" w:hAnsi="Garamond" w:cs="Arial"/>
          <w:sz w:val="28"/>
          <w:szCs w:val="28"/>
          <w:lang w:eastAsia="en-US"/>
        </w:rPr>
        <w:t xml:space="preserve">       2 </w:t>
      </w:r>
      <w:r w:rsidRPr="00881CB0">
        <w:rPr>
          <w:rFonts w:ascii="Garamond" w:hAnsi="Garamond" w:cs="Arial"/>
          <w:sz w:val="28"/>
          <w:szCs w:val="28"/>
          <w:lang w:eastAsia="en-US"/>
        </w:rPr>
        <w:t xml:space="preserve">i 3 ustawy z dnia 9.04.2010 r. </w:t>
      </w:r>
      <w:r w:rsidRPr="00881CB0">
        <w:rPr>
          <w:rFonts w:ascii="Garamond" w:hAnsi="Garamond" w:cs="Arial"/>
          <w:i/>
          <w:iCs/>
          <w:sz w:val="28"/>
          <w:szCs w:val="28"/>
          <w:lang w:eastAsia="en-US"/>
        </w:rPr>
        <w:t>o Służbie Więziennej,</w:t>
      </w:r>
      <w:r w:rsidR="00413D89">
        <w:rPr>
          <w:rFonts w:ascii="Garamond" w:hAnsi="Garamond" w:cs="Arial"/>
          <w:sz w:val="28"/>
          <w:szCs w:val="28"/>
          <w:lang w:eastAsia="en-US"/>
        </w:rPr>
        <w:t xml:space="preserve"> polegających </w:t>
      </w:r>
      <w:r w:rsidRPr="00881CB0">
        <w:rPr>
          <w:rFonts w:ascii="Garamond" w:hAnsi="Garamond" w:cs="Arial"/>
          <w:sz w:val="28"/>
          <w:szCs w:val="28"/>
          <w:lang w:eastAsia="en-US"/>
        </w:rPr>
        <w:t>na niehumanitarnym traktowaniu przez funkcjonariuszy osoby pozbawionej wolności, uwłaczających jego godności. Obaj winni zaniedbań funkcjonariusze zostali ukarani dyscyplinarnie ostrzeżeniem o niepełnej przydatności na zajmowanym stanowisku służbowym;</w:t>
      </w:r>
    </w:p>
    <w:p w:rsidR="00881CB0" w:rsidRPr="00881CB0" w:rsidRDefault="00881CB0" w:rsidP="00712D21">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Dyrektor okręgowy Służby Więziennej uznał za zasadną skargę w zakresie wymierzenia kary dyscyplinarnej przy jednoczesnym braku przypisania winy osadzonemu. W celu uniknięcia analogicznych sytuacji w przyszłości zdarzenie </w:t>
      </w:r>
      <w:r w:rsidRPr="00881CB0">
        <w:rPr>
          <w:rFonts w:ascii="Garamond" w:hAnsi="Garamond" w:cs="Arial"/>
          <w:sz w:val="28"/>
          <w:szCs w:val="28"/>
          <w:lang w:eastAsia="en-US"/>
        </w:rPr>
        <w:lastRenderedPageBreak/>
        <w:t>zostało szczegółowo omówione podczas odprawy kierownictwa jednostki, a także w trakcie odprawy kierownictwa działu ochrony, odpraw zmian, odpraw funkcjonariuszy działu ochrony pełniących służbę w systemie jednozmianowym oraz w trakcie odpraw w oddziałach penitencjarnych, ze zwróceniem uwagi na właściwe sporządzanie wniosków o wymierzenie kary dyscyplinarnej;</w:t>
      </w:r>
    </w:p>
    <w:p w:rsidR="00881CB0" w:rsidRPr="00881CB0" w:rsidRDefault="001F5EA5" w:rsidP="00712D21">
      <w:pPr>
        <w:spacing w:line="360" w:lineRule="auto"/>
        <w:jc w:val="both"/>
        <w:rPr>
          <w:rFonts w:ascii="Garamond" w:hAnsi="Garamond" w:cs="Arial"/>
          <w:sz w:val="28"/>
          <w:szCs w:val="28"/>
          <w:lang w:eastAsia="en-US"/>
        </w:rPr>
      </w:pPr>
      <w:r>
        <w:rPr>
          <w:rFonts w:ascii="Garamond" w:hAnsi="Garamond" w:cs="Arial"/>
          <w:sz w:val="28"/>
          <w:szCs w:val="28"/>
          <w:lang w:eastAsia="en-US"/>
        </w:rPr>
        <w:t xml:space="preserve">- </w:t>
      </w:r>
      <w:r w:rsidR="00881CB0" w:rsidRPr="00881CB0">
        <w:rPr>
          <w:rFonts w:ascii="Garamond" w:hAnsi="Garamond" w:cs="Arial"/>
          <w:sz w:val="28"/>
          <w:szCs w:val="28"/>
          <w:lang w:eastAsia="en-US"/>
        </w:rPr>
        <w:t>Dyrektor okręgowy Służby Więziennej uznał za uzasadnioną skargę skazanego dotyczącą sposobu niezapewnienia mu bezpieczeństwa osobistego. Skazany umieszczony był w celi mieszkalnej, w której przebywali skazani wymagający izolowania od uczestników podkultury przestępczej. Pomimo wydanych zaleceń, doszło do naruszenia jego nietykalności cielesnej przez jednego z osadzonych       tzw. grypsujących. Funkcjonariuszowi, który dopuścił do bezpośredniego kontaktu pomiędzy skazanymi, co skutkowało powstaniem zdarzenia nadzwyczajnego, wymierzono karę dyscyplinarną ostrzeżenia o niepełnej pr</w:t>
      </w:r>
      <w:r w:rsidR="00413D89">
        <w:rPr>
          <w:rFonts w:ascii="Garamond" w:hAnsi="Garamond" w:cs="Arial"/>
          <w:sz w:val="28"/>
          <w:szCs w:val="28"/>
          <w:lang w:eastAsia="en-US"/>
        </w:rPr>
        <w:t xml:space="preserve">zydatności </w:t>
      </w:r>
      <w:r w:rsidR="00881CB0" w:rsidRPr="00881CB0">
        <w:rPr>
          <w:rFonts w:ascii="Garamond" w:hAnsi="Garamond" w:cs="Arial"/>
          <w:sz w:val="28"/>
          <w:szCs w:val="28"/>
          <w:lang w:eastAsia="en-US"/>
        </w:rPr>
        <w:t>na zajmowanym stanowisku służbowym. Ponadto celem</w:t>
      </w:r>
      <w:r w:rsidR="00413D89">
        <w:rPr>
          <w:rFonts w:ascii="Garamond" w:hAnsi="Garamond" w:cs="Arial"/>
          <w:sz w:val="28"/>
          <w:szCs w:val="28"/>
          <w:lang w:eastAsia="en-US"/>
        </w:rPr>
        <w:t xml:space="preserve"> uniemożliwienia                          </w:t>
      </w:r>
      <w:r w:rsidR="00881CB0" w:rsidRPr="00881CB0">
        <w:rPr>
          <w:rFonts w:ascii="Garamond" w:hAnsi="Garamond" w:cs="Arial"/>
          <w:sz w:val="28"/>
          <w:szCs w:val="28"/>
          <w:lang w:eastAsia="en-US"/>
        </w:rPr>
        <w:t>w przyszłości powtórzenia się podobnego przypadku, zdarzenie omówiono            na odprawie penitencjarno–ochronnej. Zobowiązano wszystkich funkcjonariuszy do rzetelnego wypełniania obowiązków służbowych oraz realizowania poleceń wydanych w zakresie sposobu postępowania ze skazanymi;</w:t>
      </w:r>
    </w:p>
    <w:p w:rsidR="00881CB0" w:rsidRPr="00881CB0" w:rsidRDefault="00881CB0" w:rsidP="001F5EA5">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Dyrektor okręgowy Służby Więziennej uznał za uzasadnioną skargę dotyczącą  niezapewnienia skazanemu bezpieczeństwa osobistego. Ustalono, że w odstępie kilku dni doszło do zdarzenia, podczas którego skazany został uderzony przez innego osadzonego, a zatem działania administracji jednostki w kwestionowanym zakresie były niewystarczające. Ponieważ w toku czynności wyjaśniających okoliczności powstania i przebieg zdarzenia nie stwierdzono uchybień w pracy funkcjonariuszy jednostki, ustalono zaś, że zdarzenie miało charakter nagły               i niespodziewany, odstąpiono od wyciągania konsekwencji dyscyplinarnych. Jednocześnie, aby zapobiec powstawaniu takich sytuacji w przyszłości, skarga omówiona została w trakcie odprawy funkcjonariuszy i pracowników oddziałów penitencjarnych. Wydano polecenie, aby w przypadku udziału skazanych                  w zdarzeniu nadzwyczajnym, każdorazowo wnikliwie przeanalizować możliwość nawet profilaktycznego przemieszczenia skazanych – uczestników zdarzenia </w:t>
      </w:r>
      <w:r w:rsidR="00E76A6D">
        <w:rPr>
          <w:rFonts w:ascii="Garamond" w:hAnsi="Garamond" w:cs="Arial"/>
          <w:sz w:val="28"/>
          <w:szCs w:val="28"/>
          <w:lang w:eastAsia="en-US"/>
        </w:rPr>
        <w:t xml:space="preserve">         </w:t>
      </w:r>
      <w:r w:rsidRPr="00881CB0">
        <w:rPr>
          <w:rFonts w:ascii="Garamond" w:hAnsi="Garamond" w:cs="Arial"/>
          <w:sz w:val="28"/>
          <w:szCs w:val="28"/>
          <w:lang w:eastAsia="en-US"/>
        </w:rPr>
        <w:lastRenderedPageBreak/>
        <w:t xml:space="preserve">do innych cel mieszkalnych, a w przypadku bójki lub pobicia, wzmóc rozpoznanie środowiska wychowawczego osadzonych, wymagających zapewnienia bezpieczeństwa osobistego w jednostce. Sprawa omówiona została również </w:t>
      </w:r>
      <w:r w:rsidR="00E76A6D">
        <w:rPr>
          <w:rFonts w:ascii="Garamond" w:hAnsi="Garamond" w:cs="Arial"/>
          <w:sz w:val="28"/>
          <w:szCs w:val="28"/>
          <w:lang w:eastAsia="en-US"/>
        </w:rPr>
        <w:t xml:space="preserve">           </w:t>
      </w:r>
      <w:r w:rsidRPr="00881CB0">
        <w:rPr>
          <w:rFonts w:ascii="Garamond" w:hAnsi="Garamond" w:cs="Arial"/>
          <w:sz w:val="28"/>
          <w:szCs w:val="28"/>
          <w:lang w:eastAsia="en-US"/>
        </w:rPr>
        <w:t>na odprawie kierownictwa jednostki.</w:t>
      </w:r>
    </w:p>
    <w:p w:rsidR="00881CB0" w:rsidRPr="00BC773D" w:rsidRDefault="00881CB0" w:rsidP="001F5EA5">
      <w:pPr>
        <w:spacing w:line="360" w:lineRule="auto"/>
        <w:jc w:val="both"/>
        <w:rPr>
          <w:rFonts w:ascii="Garamond" w:hAnsi="Garamond" w:cs="Arial"/>
          <w:sz w:val="16"/>
          <w:szCs w:val="16"/>
          <w:lang w:eastAsia="en-US"/>
        </w:rPr>
      </w:pPr>
    </w:p>
    <w:p w:rsidR="00881CB0" w:rsidRPr="00881CB0" w:rsidRDefault="00881CB0" w:rsidP="00881CB0">
      <w:pPr>
        <w:keepNext/>
        <w:tabs>
          <w:tab w:val="left" w:pos="2836"/>
        </w:tabs>
        <w:spacing w:line="360" w:lineRule="auto"/>
        <w:jc w:val="both"/>
        <w:outlineLvl w:val="2"/>
        <w:rPr>
          <w:rFonts w:cs="Tahoma"/>
          <w:b/>
          <w:sz w:val="40"/>
          <w:lang w:eastAsia="pl-PL"/>
        </w:rPr>
      </w:pPr>
      <w:bookmarkStart w:id="31" w:name="_Toc386125899"/>
      <w:bookmarkStart w:id="32" w:name="_Toc485388676"/>
      <w:bookmarkStart w:id="33" w:name="__RefHeading__3482_933653961"/>
      <w:r w:rsidRPr="00881CB0">
        <w:rPr>
          <w:rFonts w:ascii="Garamond" w:hAnsi="Garamond" w:cs="Arial"/>
          <w:b/>
          <w:sz w:val="28"/>
          <w:szCs w:val="28"/>
          <w:lang w:eastAsia="ar-SA"/>
        </w:rPr>
        <w:t>5.2.5. W zakresie przetransportowania (STR)</w:t>
      </w:r>
      <w:bookmarkEnd w:id="31"/>
      <w:bookmarkEnd w:id="32"/>
      <w:bookmarkEnd w:id="33"/>
    </w:p>
    <w:p w:rsidR="00881CB0" w:rsidRPr="00881CB0" w:rsidRDefault="00881CB0" w:rsidP="001F5EA5">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Dyrektor okręgowy Służby Więziennej uznał za zasadną skargę osadzonego dotyczącą nieuza</w:t>
      </w:r>
      <w:r w:rsidR="001F5EA5">
        <w:rPr>
          <w:rFonts w:ascii="Garamond" w:hAnsi="Garamond" w:cs="Arial"/>
          <w:sz w:val="28"/>
          <w:szCs w:val="28"/>
          <w:lang w:eastAsia="en-US"/>
        </w:rPr>
        <w:t xml:space="preserve">sadnionego przetransportowania. </w:t>
      </w:r>
      <w:r w:rsidRPr="00881CB0">
        <w:rPr>
          <w:rFonts w:ascii="Garamond" w:hAnsi="Garamond" w:cs="Arial"/>
          <w:sz w:val="28"/>
          <w:szCs w:val="28"/>
          <w:lang w:eastAsia="en-US"/>
        </w:rPr>
        <w:t>W toku czynności wyjaśniających stwierdzono, że decyzją komisji penitencjarnej u</w:t>
      </w:r>
      <w:r w:rsidR="001F5EA5">
        <w:rPr>
          <w:rFonts w:ascii="Garamond" w:hAnsi="Garamond" w:cs="Arial"/>
          <w:sz w:val="28"/>
          <w:szCs w:val="28"/>
          <w:lang w:eastAsia="en-US"/>
        </w:rPr>
        <w:t>stalono, w trybie art. 164 § 1 k</w:t>
      </w:r>
      <w:r w:rsidRPr="00881CB0">
        <w:rPr>
          <w:rFonts w:ascii="Garamond" w:hAnsi="Garamond" w:cs="Arial"/>
          <w:sz w:val="28"/>
          <w:szCs w:val="28"/>
          <w:lang w:eastAsia="en-US"/>
        </w:rPr>
        <w:t xml:space="preserve">.k.w., okres przygotowania skazanego do życia po zwolnieniu. W tym samym dniu podjęto czynności zmierzające do przetransportowania skazanego </w:t>
      </w:r>
      <w:r w:rsidR="00D97C0A">
        <w:rPr>
          <w:rFonts w:ascii="Garamond" w:hAnsi="Garamond" w:cs="Arial"/>
          <w:sz w:val="28"/>
          <w:szCs w:val="28"/>
          <w:lang w:eastAsia="en-US"/>
        </w:rPr>
        <w:t xml:space="preserve">     </w:t>
      </w:r>
      <w:r w:rsidRPr="00881CB0">
        <w:rPr>
          <w:rFonts w:ascii="Garamond" w:hAnsi="Garamond" w:cs="Arial"/>
          <w:sz w:val="28"/>
          <w:szCs w:val="28"/>
          <w:lang w:eastAsia="en-US"/>
        </w:rPr>
        <w:t>do zakładu karnego położonego najbliżej przyszłego miejsca stałego pobytu.              W przyczynach wytransportowania wskazano miejsce zamieszkania matki skazanego, a nie miejsce zamieszkania skazanego. Z osobą winną zaniedbania przeprowadzono rozmowę instruktażowo-szkoleniową. Ponadto sprawa                  ta omówiona została na odprawie kierownictwa jednostki oraz na odprawie działowej działu penitencjarnego;</w:t>
      </w:r>
    </w:p>
    <w:p w:rsidR="00881CB0" w:rsidRPr="00881CB0" w:rsidRDefault="00881CB0" w:rsidP="001F5EA5">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Dyrektor okręgowy Służby Więziennej uznał za zasadną skargę osadzonego dotyczącą przetransportowania go z aresztu śledczego do innej jednostki, celem zatrudnienia. W wyniku podjętych czynności wyjaśniających ustalono, że skazany został przetransportowany pomimo tego, że złożona przez dyrektora tej jednostki oferta pracy była już nieaktualna. Spowodowane to było brakiem przepływu informacji w jednostce macierzystej o wycofaniu ofert pracy. W momencie przybycia osadzonego do niewłaściwej jednostki i stwierdzeniu bezcelowości transportu wszczęto procedury zmierzające do przetransportowania skazanego </w:t>
      </w:r>
      <w:r w:rsidR="00E76A6D">
        <w:rPr>
          <w:rFonts w:ascii="Garamond" w:hAnsi="Garamond" w:cs="Arial"/>
          <w:sz w:val="28"/>
          <w:szCs w:val="28"/>
          <w:lang w:eastAsia="en-US"/>
        </w:rPr>
        <w:t xml:space="preserve">      </w:t>
      </w:r>
      <w:r w:rsidRPr="00881CB0">
        <w:rPr>
          <w:rFonts w:ascii="Garamond" w:hAnsi="Garamond" w:cs="Arial"/>
          <w:sz w:val="28"/>
          <w:szCs w:val="28"/>
          <w:lang w:eastAsia="en-US"/>
        </w:rPr>
        <w:t xml:space="preserve">do właściwego zakładu karnego.  W związku z zasadnością skargi dyrektor okręgowy Służby Więziennej skierował wystąpienie do dyrektorów wszystkich jednostek penitencjarnych okręgu, wskazując na konkretne działania, których podjęcie spowoduje uniknięcie w przyszłości podobnych błędów, skutkujących bezzasadnym wykonaniem czynności transportowych.   </w:t>
      </w:r>
    </w:p>
    <w:p w:rsidR="00881CB0" w:rsidRPr="00BC773D" w:rsidRDefault="00881CB0" w:rsidP="001F5EA5">
      <w:pPr>
        <w:spacing w:line="360" w:lineRule="auto"/>
        <w:jc w:val="both"/>
        <w:rPr>
          <w:rFonts w:ascii="Garamond" w:hAnsi="Garamond" w:cs="Arial"/>
          <w:sz w:val="16"/>
          <w:szCs w:val="16"/>
          <w:lang w:eastAsia="en-US"/>
        </w:rPr>
      </w:pPr>
    </w:p>
    <w:p w:rsidR="00881CB0" w:rsidRPr="00881CB0" w:rsidRDefault="00881CB0" w:rsidP="00881CB0">
      <w:pPr>
        <w:keepNext/>
        <w:tabs>
          <w:tab w:val="left" w:pos="2836"/>
        </w:tabs>
        <w:spacing w:line="360" w:lineRule="auto"/>
        <w:jc w:val="both"/>
        <w:outlineLvl w:val="2"/>
        <w:rPr>
          <w:rFonts w:ascii="Garamond" w:hAnsi="Garamond" w:cs="Arial"/>
          <w:b/>
          <w:sz w:val="28"/>
          <w:szCs w:val="28"/>
          <w:lang w:eastAsia="pl-PL"/>
        </w:rPr>
      </w:pPr>
      <w:bookmarkStart w:id="34" w:name="__RefHeading__3484_933653961"/>
      <w:bookmarkStart w:id="35" w:name="_Toc386125903"/>
      <w:bookmarkStart w:id="36" w:name="_Toc485388677"/>
      <w:r w:rsidRPr="00881CB0">
        <w:rPr>
          <w:rFonts w:ascii="Garamond" w:hAnsi="Garamond" w:cs="Arial"/>
          <w:b/>
          <w:sz w:val="28"/>
          <w:szCs w:val="28"/>
          <w:lang w:eastAsia="pl-PL"/>
        </w:rPr>
        <w:lastRenderedPageBreak/>
        <w:t>5.2.6. W zakresie wymierzenia kar dyscyplinarnych (SKD)</w:t>
      </w:r>
      <w:bookmarkEnd w:id="34"/>
      <w:bookmarkEnd w:id="35"/>
      <w:bookmarkEnd w:id="36"/>
    </w:p>
    <w:p w:rsidR="00881CB0" w:rsidRPr="00881CB0" w:rsidRDefault="00881CB0" w:rsidP="00881CB0">
      <w:pPr>
        <w:spacing w:line="360" w:lineRule="auto"/>
        <w:jc w:val="both"/>
        <w:rPr>
          <w:rFonts w:ascii="Garamond" w:hAnsi="Garamond" w:cs="Arial"/>
          <w:sz w:val="28"/>
          <w:szCs w:val="28"/>
          <w:lang w:eastAsia="pl-PL"/>
        </w:rPr>
      </w:pPr>
      <w:r w:rsidRPr="00881CB0">
        <w:rPr>
          <w:rFonts w:ascii="Garamond" w:hAnsi="Garamond" w:cs="Arial"/>
          <w:sz w:val="28"/>
          <w:szCs w:val="28"/>
          <w:lang w:eastAsia="pl-PL"/>
        </w:rPr>
        <w:t>- Dyrektor okręgowy Służby Więziennej uznał za uzasadnioną skargę skazanego, dotyczącą decyzji o wymierzeniu kary dyscyplinarnej w postaci udzielania widzeń    w sposób uniemożliwiający bezpośredni kontakt z osobą odwiedzającą na okres        2 miesięcy. Z treści wniosku o wymierzenie kary dyscyplinarnej wynikało,                 iż w trakcie kontroli innego skazanego, powracającego ze spaceru, skarżący komentował, w głośny sposób, czynności wykonywane przez funkcjonariuszy.</w:t>
      </w:r>
      <w:r w:rsidR="001F5EA5">
        <w:rPr>
          <w:rFonts w:ascii="Garamond" w:hAnsi="Garamond" w:cs="Arial"/>
          <w:sz w:val="28"/>
          <w:szCs w:val="28"/>
          <w:lang w:eastAsia="pl-PL"/>
        </w:rPr>
        <w:t xml:space="preserve"> </w:t>
      </w:r>
      <w:r w:rsidRPr="00881CB0">
        <w:rPr>
          <w:rFonts w:ascii="Garamond" w:hAnsi="Garamond" w:cs="Arial"/>
          <w:sz w:val="28"/>
          <w:szCs w:val="28"/>
          <w:lang w:eastAsia="pl-PL"/>
        </w:rPr>
        <w:t xml:space="preserve"> Opis przekroczenia widniejący we wniosku o wymierzenie kary dyscyplinarnej nie pozwalał na ustalenie rodzaju przekroczenia, którego osadzony miał się dopuścić;</w:t>
      </w:r>
    </w:p>
    <w:p w:rsidR="00881CB0" w:rsidRPr="00881CB0" w:rsidRDefault="00881CB0" w:rsidP="00881CB0">
      <w:pPr>
        <w:spacing w:line="360" w:lineRule="auto"/>
        <w:jc w:val="both"/>
        <w:rPr>
          <w:rFonts w:ascii="Garamond" w:hAnsi="Garamond" w:cs="Arial"/>
          <w:sz w:val="28"/>
          <w:szCs w:val="28"/>
          <w:lang w:eastAsia="pl-PL"/>
        </w:rPr>
      </w:pPr>
      <w:r w:rsidRPr="00881CB0">
        <w:rPr>
          <w:rFonts w:ascii="Garamond" w:hAnsi="Garamond" w:cs="Arial"/>
          <w:sz w:val="28"/>
          <w:szCs w:val="28"/>
          <w:lang w:eastAsia="pl-PL"/>
        </w:rPr>
        <w:t>- Dyrektor okręgowy Służby Więziennej uznał za uzasadnioną skargę skazanego, dotyczącą wymierzenia kary dyscyplinarnej. Dyrektor jednostki wymierzył osadzonemu karę dyscyplinarną, o kt</w:t>
      </w:r>
      <w:r w:rsidR="001F5EA5">
        <w:rPr>
          <w:rFonts w:ascii="Garamond" w:hAnsi="Garamond" w:cs="Arial"/>
          <w:sz w:val="28"/>
          <w:szCs w:val="28"/>
          <w:lang w:eastAsia="pl-PL"/>
        </w:rPr>
        <w:t>órej mowa w art. 143 § 1 pkt 4 k</w:t>
      </w:r>
      <w:r w:rsidRPr="00881CB0">
        <w:rPr>
          <w:rFonts w:ascii="Garamond" w:hAnsi="Garamond" w:cs="Arial"/>
          <w:sz w:val="28"/>
          <w:szCs w:val="28"/>
          <w:lang w:eastAsia="pl-PL"/>
        </w:rPr>
        <w:t>.k.w., na okres 2 miesięcy,</w:t>
      </w:r>
      <w:r w:rsidR="001F5EA5">
        <w:rPr>
          <w:rFonts w:ascii="Garamond" w:hAnsi="Garamond" w:cs="Arial"/>
          <w:sz w:val="28"/>
          <w:szCs w:val="28"/>
          <w:lang w:eastAsia="pl-PL"/>
        </w:rPr>
        <w:t xml:space="preserve"> za naruszenie art. 116a pkt 5 k</w:t>
      </w:r>
      <w:r w:rsidRPr="00881CB0">
        <w:rPr>
          <w:rFonts w:ascii="Garamond" w:hAnsi="Garamond" w:cs="Arial"/>
          <w:sz w:val="28"/>
          <w:szCs w:val="28"/>
          <w:lang w:eastAsia="pl-PL"/>
        </w:rPr>
        <w:t>.k.w. Z u</w:t>
      </w:r>
      <w:r w:rsidR="001F5EA5">
        <w:rPr>
          <w:rFonts w:ascii="Garamond" w:hAnsi="Garamond" w:cs="Arial"/>
          <w:sz w:val="28"/>
          <w:szCs w:val="28"/>
          <w:lang w:eastAsia="pl-PL"/>
        </w:rPr>
        <w:t xml:space="preserve">wagi jednak na fakt, </w:t>
      </w:r>
      <w:r w:rsidRPr="00881CB0">
        <w:rPr>
          <w:rFonts w:ascii="Garamond" w:hAnsi="Garamond" w:cs="Arial"/>
          <w:sz w:val="28"/>
          <w:szCs w:val="28"/>
          <w:lang w:eastAsia="pl-PL"/>
        </w:rPr>
        <w:t>że przed wymierzeniem kary nie ustalono przyczyny  zachowania osadzonego, polegającego na odmowie przyjmowania posiłków, brak było podstaw do stwierdzenia wi</w:t>
      </w:r>
      <w:r w:rsidR="001F5EA5">
        <w:rPr>
          <w:rFonts w:ascii="Garamond" w:hAnsi="Garamond" w:cs="Arial"/>
          <w:sz w:val="28"/>
          <w:szCs w:val="28"/>
          <w:lang w:eastAsia="pl-PL"/>
        </w:rPr>
        <w:t>ny skazanego w trybie art. 142 k</w:t>
      </w:r>
      <w:r w:rsidRPr="00881CB0">
        <w:rPr>
          <w:rFonts w:ascii="Garamond" w:hAnsi="Garamond" w:cs="Arial"/>
          <w:sz w:val="28"/>
          <w:szCs w:val="28"/>
          <w:lang w:eastAsia="pl-PL"/>
        </w:rPr>
        <w:t>.k.w. W związku z uznaniem skargi za uzasadnioną dyrektor jednostki przeprowadził rozmowę ze swoim zastępcą.</w:t>
      </w:r>
    </w:p>
    <w:p w:rsidR="00881CB0" w:rsidRPr="00BC773D" w:rsidRDefault="00881CB0" w:rsidP="00881CB0">
      <w:pPr>
        <w:spacing w:before="100" w:after="119" w:line="276" w:lineRule="auto"/>
        <w:jc w:val="both"/>
        <w:rPr>
          <w:rFonts w:ascii="Garamond" w:hAnsi="Garamond" w:cs="Arial"/>
          <w:sz w:val="16"/>
          <w:szCs w:val="16"/>
          <w:lang w:eastAsia="en-US"/>
        </w:rPr>
      </w:pPr>
    </w:p>
    <w:p w:rsidR="00881CB0" w:rsidRPr="00881CB0" w:rsidRDefault="00881CB0" w:rsidP="00881CB0">
      <w:pPr>
        <w:keepNext/>
        <w:tabs>
          <w:tab w:val="left" w:pos="2836"/>
        </w:tabs>
        <w:spacing w:line="360" w:lineRule="auto"/>
        <w:jc w:val="both"/>
        <w:outlineLvl w:val="2"/>
        <w:rPr>
          <w:rFonts w:cs="Tahoma"/>
          <w:b/>
          <w:sz w:val="40"/>
          <w:lang w:eastAsia="pl-PL"/>
        </w:rPr>
      </w:pPr>
      <w:bookmarkStart w:id="37" w:name="_Toc386125901"/>
      <w:bookmarkStart w:id="38" w:name="_Toc485388678"/>
      <w:bookmarkStart w:id="39" w:name="__RefHeading__3486_933653961"/>
      <w:r w:rsidRPr="00881CB0">
        <w:rPr>
          <w:rFonts w:ascii="Garamond" w:hAnsi="Garamond" w:cs="Arial"/>
          <w:b/>
          <w:sz w:val="28"/>
          <w:szCs w:val="28"/>
          <w:lang w:eastAsia="pl-PL"/>
        </w:rPr>
        <w:t>5.2.7. W zakresie korespondencji (SKO)</w:t>
      </w:r>
      <w:bookmarkEnd w:id="37"/>
      <w:bookmarkEnd w:id="38"/>
      <w:bookmarkEnd w:id="39"/>
    </w:p>
    <w:p w:rsidR="00881CB0" w:rsidRPr="00881CB0" w:rsidRDefault="00881CB0" w:rsidP="001F5EA5">
      <w:pPr>
        <w:spacing w:line="360" w:lineRule="auto"/>
        <w:jc w:val="both"/>
        <w:rPr>
          <w:rFonts w:ascii="Garamond" w:eastAsia="Times New Roman" w:hAnsi="Garamond" w:cs="Arial"/>
          <w:sz w:val="28"/>
          <w:szCs w:val="28"/>
          <w:lang w:eastAsia="en-US"/>
        </w:rPr>
      </w:pPr>
      <w:r w:rsidRPr="00881CB0">
        <w:rPr>
          <w:rFonts w:ascii="Garamond" w:eastAsia="Times New Roman" w:hAnsi="Garamond" w:cs="Arial"/>
          <w:sz w:val="28"/>
          <w:szCs w:val="28"/>
          <w:lang w:eastAsia="en-US"/>
        </w:rPr>
        <w:t>- Dyrektor zakładu karnego uznał za zasadną skargę osadzonego dotyczącą zaginięcia korespondencji. W toku przeprowadzonych czynności wyjaśniających osadzony okazał potwierdzenie odbioru korespondencji urzędowej. Na podstawie analizy dziennika korespondencyjnego ustalano, że korespondencja taka nie została zarejestrowana.  Organ, do którego list był kierowany równi</w:t>
      </w:r>
      <w:r w:rsidR="001F5EA5">
        <w:rPr>
          <w:rFonts w:ascii="Garamond" w:eastAsia="Times New Roman" w:hAnsi="Garamond" w:cs="Arial"/>
          <w:sz w:val="28"/>
          <w:szCs w:val="28"/>
          <w:lang w:eastAsia="en-US"/>
        </w:rPr>
        <w:t xml:space="preserve">eż nie potwierdził jego wpływu. </w:t>
      </w:r>
      <w:r w:rsidRPr="00881CB0">
        <w:rPr>
          <w:rFonts w:ascii="Garamond" w:eastAsia="Times New Roman" w:hAnsi="Garamond" w:cs="Arial"/>
          <w:sz w:val="28"/>
          <w:szCs w:val="28"/>
          <w:lang w:eastAsia="en-US"/>
        </w:rPr>
        <w:t xml:space="preserve">W tym przypadku nie można było potwierdzić, że korespondencja urzędowa przekazana przez skazanego, na którą otrzymał potwierdzenie odbioru faktycznie została wysłana z jednostki. Z uwagi, iż przeprowadzone postępowanie skargowe nie ujawniło na jakim etapie doszło do zaginięcia korespondencji skazanego - nie ustalono osób winnych zaistniałej sytuacji. Decyzją dyrektora zakładu karnego, z funkcjonariuszami odpowiedzianymi za obieg korespondencji przeprowadzono rozmowę szkoleniowo – instruktażową oraz zobowiązano </w:t>
      </w:r>
      <w:r w:rsidR="00E76A6D">
        <w:rPr>
          <w:rFonts w:ascii="Garamond" w:eastAsia="Times New Roman" w:hAnsi="Garamond" w:cs="Arial"/>
          <w:sz w:val="28"/>
          <w:szCs w:val="28"/>
          <w:lang w:eastAsia="en-US"/>
        </w:rPr>
        <w:t xml:space="preserve">           </w:t>
      </w:r>
      <w:r w:rsidRPr="00881CB0">
        <w:rPr>
          <w:rFonts w:ascii="Garamond" w:eastAsia="Times New Roman" w:hAnsi="Garamond" w:cs="Arial"/>
          <w:sz w:val="28"/>
          <w:szCs w:val="28"/>
          <w:lang w:eastAsia="en-US"/>
        </w:rPr>
        <w:lastRenderedPageBreak/>
        <w:t>do starannego wykonywania obowiązków służbowych;</w:t>
      </w:r>
    </w:p>
    <w:p w:rsidR="00881CB0" w:rsidRPr="00881CB0" w:rsidRDefault="00881CB0" w:rsidP="001F5EA5">
      <w:pPr>
        <w:spacing w:line="360" w:lineRule="auto"/>
        <w:jc w:val="both"/>
        <w:rPr>
          <w:rFonts w:cs="Tahoma"/>
          <w:lang w:eastAsia="en-US"/>
        </w:rPr>
      </w:pPr>
      <w:r w:rsidRPr="00881CB0">
        <w:rPr>
          <w:rFonts w:ascii="Garamond" w:eastAsia="Times New Roman" w:hAnsi="Garamond" w:cs="Arial"/>
          <w:sz w:val="28"/>
          <w:szCs w:val="28"/>
          <w:lang w:eastAsia="en-US"/>
        </w:rPr>
        <w:t xml:space="preserve">- </w:t>
      </w:r>
      <w:r w:rsidRPr="00881CB0">
        <w:rPr>
          <w:rFonts w:ascii="Garamond" w:hAnsi="Garamond" w:cs="Arial"/>
          <w:sz w:val="28"/>
          <w:szCs w:val="28"/>
          <w:lang w:eastAsia="en-US"/>
        </w:rPr>
        <w:t xml:space="preserve">Dyrektor zakładu karnego uznał za zasadną skargę skazanego dotyczącą zwłoki      w dostarczeniu korespondencji. W wyniku przeprowadzonego w jednostce postępowania wyjaśniającego ustalono, że korespondencja polecona adresowana </w:t>
      </w:r>
      <w:r w:rsidR="00D97C0A">
        <w:rPr>
          <w:rFonts w:ascii="Garamond" w:hAnsi="Garamond" w:cs="Arial"/>
          <w:sz w:val="28"/>
          <w:szCs w:val="28"/>
          <w:lang w:eastAsia="en-US"/>
        </w:rPr>
        <w:t xml:space="preserve"> </w:t>
      </w:r>
      <w:r w:rsidRPr="00881CB0">
        <w:rPr>
          <w:rFonts w:ascii="Garamond" w:hAnsi="Garamond" w:cs="Arial"/>
          <w:sz w:val="28"/>
          <w:szCs w:val="28"/>
          <w:lang w:eastAsia="en-US"/>
        </w:rPr>
        <w:t>do</w:t>
      </w:r>
      <w:r w:rsidR="00E76A6D">
        <w:rPr>
          <w:rFonts w:ascii="Garamond" w:hAnsi="Garamond" w:cs="Arial"/>
          <w:sz w:val="28"/>
          <w:szCs w:val="28"/>
          <w:lang w:eastAsia="en-US"/>
        </w:rPr>
        <w:t xml:space="preserve"> skarżącego, która wpłynęła do zakładu karnego </w:t>
      </w:r>
      <w:r w:rsidRPr="00881CB0">
        <w:rPr>
          <w:rFonts w:ascii="Garamond" w:hAnsi="Garamond" w:cs="Arial"/>
          <w:sz w:val="28"/>
          <w:szCs w:val="28"/>
          <w:lang w:eastAsia="en-US"/>
        </w:rPr>
        <w:t>w dniu 17 listopada 2016 r., została mu wydana dopiero w dniu 2</w:t>
      </w:r>
      <w:r w:rsidR="00E76A6D">
        <w:rPr>
          <w:rFonts w:ascii="Garamond" w:hAnsi="Garamond" w:cs="Arial"/>
          <w:sz w:val="28"/>
          <w:szCs w:val="28"/>
          <w:lang w:eastAsia="en-US"/>
        </w:rPr>
        <w:t xml:space="preserve">2 listopada 2016 r. W związku z </w:t>
      </w:r>
      <w:r w:rsidRPr="00881CB0">
        <w:rPr>
          <w:rFonts w:ascii="Garamond" w:hAnsi="Garamond" w:cs="Arial"/>
          <w:sz w:val="28"/>
          <w:szCs w:val="28"/>
          <w:lang w:eastAsia="en-US"/>
        </w:rPr>
        <w:t>uznaniem skargi za zasadną przeprowadzone zostało szkolenie wewnątrzzakładowe funkcjonariuszy komórki organizacyjnej odpowiedzialnej za obieg korespondencji osadzonych przebywających w Zakładzie Karnym. Ponadto z funkcjonariuszem odpowiedzialnym za zwłokę w dostarczeniu korespondencji skazanego przeprowadzona została rozmowa instruktażowa;</w:t>
      </w:r>
    </w:p>
    <w:p w:rsidR="00881CB0" w:rsidRPr="00881CB0" w:rsidRDefault="00881CB0" w:rsidP="001F5EA5">
      <w:pPr>
        <w:spacing w:line="360" w:lineRule="auto"/>
        <w:jc w:val="both"/>
        <w:rPr>
          <w:rFonts w:ascii="Garamond" w:eastAsia="Times New Roman" w:hAnsi="Garamond" w:cs="Arial"/>
          <w:sz w:val="28"/>
          <w:szCs w:val="28"/>
          <w:lang w:eastAsia="en-US"/>
        </w:rPr>
      </w:pPr>
      <w:r w:rsidRPr="00881CB0">
        <w:rPr>
          <w:rFonts w:ascii="Garamond" w:eastAsia="Times New Roman" w:hAnsi="Garamond" w:cs="Arial"/>
          <w:sz w:val="28"/>
          <w:szCs w:val="28"/>
          <w:lang w:eastAsia="en-US"/>
        </w:rPr>
        <w:t>- za zasadną uznano skargę w przedmiocie zwłoki w wydawaniu potwierdzeń odbioru korespondencji urzędowej. Funkcjonariusz działu ewidencji doręczył skarżącemu przesyłki po 13 i 15 dniach od chwili ich wpływu. Zdarzenie omówiono na odprawie funkcjonariuszy i pracowników działu ewidencji                  z uwzględnieniem przepisów prawa w ww. zakresie. Zaistniały przypadek został również omówiony na odprawie kierownictwa jednostki;</w:t>
      </w:r>
    </w:p>
    <w:p w:rsidR="00881CB0" w:rsidRDefault="00881CB0" w:rsidP="00BC773D">
      <w:pPr>
        <w:spacing w:line="360" w:lineRule="auto"/>
        <w:jc w:val="both"/>
        <w:rPr>
          <w:rFonts w:ascii="Garamond" w:eastAsia="Times New Roman" w:hAnsi="Garamond" w:cs="Arial"/>
          <w:sz w:val="28"/>
          <w:szCs w:val="28"/>
          <w:lang w:eastAsia="en-US"/>
        </w:rPr>
      </w:pPr>
      <w:r w:rsidRPr="00881CB0">
        <w:rPr>
          <w:rFonts w:ascii="Garamond" w:eastAsia="Times New Roman" w:hAnsi="Garamond" w:cs="Arial"/>
          <w:sz w:val="28"/>
          <w:szCs w:val="28"/>
          <w:lang w:eastAsia="en-US"/>
        </w:rPr>
        <w:t>- Dyrektor okręgowy Służby Więziennej uznał za uzasadnioną skargę osadzonego w zakresie umieszczenia korespondencji skierowanej do brata osadzonego, w jednej kopercie, której adresatem był skarżący o tym samym nazwisku. W konsekwencji powyższej pomyłki, przesyłka kierowana do brata skarżącego, została odebrana przez skarżącego. Dodatkowo ustalono, że autor skargi oraz jego brat, w czasie, kiedy osadzony odebrał korespondencję, byli zakwaterowani w tej samej celi mieszkalnej. Z funkcjonariuszem, który przyczynił się do powyższego zdarzenia, mając na uwadze fakt, iż był to incydentalny</w:t>
      </w:r>
      <w:r w:rsidR="00E76A6D">
        <w:rPr>
          <w:rFonts w:ascii="Garamond" w:eastAsia="Times New Roman" w:hAnsi="Garamond" w:cs="Arial"/>
          <w:sz w:val="28"/>
          <w:szCs w:val="28"/>
          <w:lang w:eastAsia="en-US"/>
        </w:rPr>
        <w:t xml:space="preserve"> przypadek, dyrektor okręgowy Służby Więziennej</w:t>
      </w:r>
      <w:r w:rsidRPr="00881CB0">
        <w:rPr>
          <w:rFonts w:ascii="Garamond" w:eastAsia="Times New Roman" w:hAnsi="Garamond" w:cs="Arial"/>
          <w:sz w:val="28"/>
          <w:szCs w:val="28"/>
          <w:lang w:eastAsia="en-US"/>
        </w:rPr>
        <w:t xml:space="preserve"> przeprowadził stosowną rozmowę.</w:t>
      </w:r>
    </w:p>
    <w:p w:rsidR="00BC773D" w:rsidRPr="00BC773D" w:rsidRDefault="00BC773D" w:rsidP="00BC773D">
      <w:pPr>
        <w:spacing w:line="360" w:lineRule="auto"/>
        <w:jc w:val="both"/>
        <w:rPr>
          <w:rFonts w:ascii="Garamond" w:eastAsia="Times New Roman" w:hAnsi="Garamond" w:cs="Arial"/>
          <w:lang w:eastAsia="en-US"/>
        </w:rPr>
      </w:pPr>
    </w:p>
    <w:p w:rsidR="00881CB0" w:rsidRPr="00881CB0" w:rsidRDefault="00881CB0" w:rsidP="00881CB0">
      <w:pPr>
        <w:keepNext/>
        <w:tabs>
          <w:tab w:val="left" w:pos="2836"/>
        </w:tabs>
        <w:spacing w:line="360" w:lineRule="auto"/>
        <w:jc w:val="both"/>
        <w:outlineLvl w:val="2"/>
        <w:rPr>
          <w:rFonts w:ascii="Garamond" w:hAnsi="Garamond" w:cs="Arial"/>
          <w:b/>
          <w:sz w:val="28"/>
          <w:szCs w:val="28"/>
          <w:lang w:eastAsia="pl-PL"/>
        </w:rPr>
      </w:pPr>
      <w:bookmarkStart w:id="40" w:name="_Toc386125908"/>
      <w:bookmarkStart w:id="41" w:name="_Toc485388679"/>
      <w:bookmarkStart w:id="42" w:name="__RefHeading__3488_933653961"/>
      <w:r w:rsidRPr="00881CB0">
        <w:rPr>
          <w:rFonts w:ascii="Garamond" w:hAnsi="Garamond" w:cs="Arial"/>
          <w:b/>
          <w:sz w:val="28"/>
          <w:szCs w:val="28"/>
          <w:lang w:eastAsia="pl-PL"/>
        </w:rPr>
        <w:t>5.2.8. W zakresie udzielania widzeń i rozmów telefonicznych (SWI)</w:t>
      </w:r>
      <w:bookmarkEnd w:id="40"/>
      <w:bookmarkEnd w:id="41"/>
      <w:bookmarkEnd w:id="42"/>
    </w:p>
    <w:p w:rsidR="00881CB0" w:rsidRPr="00881CB0" w:rsidRDefault="00881CB0" w:rsidP="001F5EA5">
      <w:pPr>
        <w:tabs>
          <w:tab w:val="left" w:pos="4210"/>
        </w:tabs>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za zasadną uznano skargę w części dotyczącej udzielenia widzenia w sposób uniemożliwiający bezpośredni kontakt (jako realizacja kary dyscyplinarnej). Sposób realizacji udzielenia widzenia rodzinnego był niewłaściwy i spowodowany błędnym </w:t>
      </w:r>
      <w:r w:rsidRPr="00881CB0">
        <w:rPr>
          <w:rFonts w:ascii="Garamond" w:hAnsi="Garamond" w:cs="Arial"/>
          <w:sz w:val="28"/>
          <w:szCs w:val="28"/>
          <w:lang w:eastAsia="en-US"/>
        </w:rPr>
        <w:lastRenderedPageBreak/>
        <w:t>wprowadzeniem statusu kary w systemie Noe.NET, którą osadzony miał wówczas zawieszoną na okres 2 miesięcy. W związku z dokonanymi ustaleniami ujawniony przypadek nieprawidłowości omówiono na odprawie penitencjarnej;</w:t>
      </w:r>
    </w:p>
    <w:p w:rsidR="00881CB0" w:rsidRPr="00881CB0" w:rsidRDefault="00881CB0" w:rsidP="001F5EA5">
      <w:pPr>
        <w:tabs>
          <w:tab w:val="left" w:pos="4210"/>
        </w:tabs>
        <w:spacing w:line="360" w:lineRule="auto"/>
        <w:jc w:val="both"/>
        <w:rPr>
          <w:rFonts w:cs="Tahoma"/>
          <w:lang w:eastAsia="en-US"/>
        </w:rPr>
      </w:pPr>
      <w:r w:rsidRPr="00881CB0">
        <w:rPr>
          <w:rFonts w:ascii="Garamond" w:hAnsi="Garamond" w:cs="Arial"/>
          <w:sz w:val="28"/>
          <w:szCs w:val="28"/>
          <w:lang w:eastAsia="en-US"/>
        </w:rPr>
        <w:t>- Dyrektor okręgowy Służby Więziennej uznał za zasadną skargę osadzonego dotyczącą skrócenia czasu widzenia. W toku podjętych czynności wyjaśniających ustalono, że zgodnie z posiadaną przez administrację jednostki dokumentacją, widzenie skazanego zostało zrealizowane w godzinach 13</w:t>
      </w:r>
      <w:r w:rsidRPr="00881CB0">
        <w:rPr>
          <w:rFonts w:ascii="Garamond" w:hAnsi="Garamond" w:cs="Arial"/>
          <w:sz w:val="28"/>
          <w:szCs w:val="28"/>
          <w:vertAlign w:val="superscript"/>
          <w:lang w:eastAsia="en-US"/>
        </w:rPr>
        <w:t>40</w:t>
      </w:r>
      <w:r w:rsidRPr="00881CB0">
        <w:rPr>
          <w:rFonts w:ascii="Garamond" w:hAnsi="Garamond" w:cs="Arial"/>
          <w:sz w:val="28"/>
          <w:szCs w:val="28"/>
          <w:lang w:eastAsia="en-US"/>
        </w:rPr>
        <w:t>-14</w:t>
      </w:r>
      <w:r w:rsidRPr="00881CB0">
        <w:rPr>
          <w:rFonts w:ascii="Garamond" w:hAnsi="Garamond" w:cs="Arial"/>
          <w:sz w:val="28"/>
          <w:szCs w:val="28"/>
          <w:vertAlign w:val="superscript"/>
          <w:lang w:eastAsia="en-US"/>
        </w:rPr>
        <w:t>40</w:t>
      </w:r>
      <w:r w:rsidRPr="00881CB0">
        <w:rPr>
          <w:rFonts w:ascii="Garamond" w:hAnsi="Garamond" w:cs="Arial"/>
          <w:sz w:val="28"/>
          <w:szCs w:val="28"/>
          <w:lang w:eastAsia="en-US"/>
        </w:rPr>
        <w:t>. Jednakże na podstawie analizy zapisu z monitoringu ustalono, że skarżący rozpoczął widzenie      o godzinie 13</w:t>
      </w:r>
      <w:r w:rsidRPr="00881CB0">
        <w:rPr>
          <w:rFonts w:ascii="Garamond" w:hAnsi="Garamond" w:cs="Arial"/>
          <w:sz w:val="28"/>
          <w:szCs w:val="28"/>
          <w:vertAlign w:val="superscript"/>
          <w:lang w:eastAsia="en-US"/>
        </w:rPr>
        <w:t>49</w:t>
      </w:r>
      <w:r w:rsidRPr="00881CB0">
        <w:rPr>
          <w:rFonts w:ascii="Garamond" w:hAnsi="Garamond" w:cs="Arial"/>
          <w:sz w:val="28"/>
          <w:szCs w:val="28"/>
          <w:lang w:eastAsia="en-US"/>
        </w:rPr>
        <w:t>, a zakończył o godzinie 14</w:t>
      </w:r>
      <w:r w:rsidRPr="00881CB0">
        <w:rPr>
          <w:rFonts w:ascii="Garamond" w:hAnsi="Garamond" w:cs="Arial"/>
          <w:sz w:val="28"/>
          <w:szCs w:val="28"/>
          <w:vertAlign w:val="superscript"/>
          <w:lang w:eastAsia="en-US"/>
        </w:rPr>
        <w:t>40</w:t>
      </w:r>
      <w:r w:rsidRPr="00881CB0">
        <w:rPr>
          <w:rFonts w:ascii="Garamond" w:hAnsi="Garamond" w:cs="Arial"/>
          <w:sz w:val="28"/>
          <w:szCs w:val="28"/>
          <w:lang w:eastAsia="en-US"/>
        </w:rPr>
        <w:t>. Z powodu omyłkowego odnotowania przez funkcjonariusza godziny rozpoczęcia widzenia przez skarżącego zostało ono mu skrócone o 9 minut, czym naruszono prawo skazanego do godzinnego wid</w:t>
      </w:r>
      <w:r w:rsidR="001F5EA5">
        <w:rPr>
          <w:rFonts w:ascii="Garamond" w:hAnsi="Garamond" w:cs="Arial"/>
          <w:sz w:val="28"/>
          <w:szCs w:val="28"/>
          <w:lang w:eastAsia="en-US"/>
        </w:rPr>
        <w:t>zenia, określonego w art. 105a k</w:t>
      </w:r>
      <w:r w:rsidRPr="00881CB0">
        <w:rPr>
          <w:rFonts w:ascii="Garamond" w:hAnsi="Garamond" w:cs="Arial"/>
          <w:sz w:val="28"/>
          <w:szCs w:val="28"/>
          <w:lang w:eastAsia="en-US"/>
        </w:rPr>
        <w:t>.k.w. W związku z zasadnością skargi dyrektor zakładu karnego przeprowadził z funkcjonariuszem winnym zaistniałej sytuacji rozmowę zobowiązując go do rzetelnego wykonywania powierzonych obowiązków służbowych oraz ostrzegł przed wyciągnięciem konsekwencji dyscyplinarnych          w przypadku powtórzenia się zaistniałego zdarzenia;</w:t>
      </w:r>
    </w:p>
    <w:p w:rsidR="00881CB0" w:rsidRDefault="00881CB0" w:rsidP="001F5EA5">
      <w:pPr>
        <w:tabs>
          <w:tab w:val="left" w:pos="4210"/>
        </w:tabs>
        <w:spacing w:line="360" w:lineRule="auto"/>
        <w:jc w:val="both"/>
        <w:rPr>
          <w:rFonts w:ascii="Garamond" w:hAnsi="Garamond" w:cs="Arial"/>
          <w:sz w:val="28"/>
          <w:szCs w:val="28"/>
          <w:lang w:eastAsia="en-US"/>
        </w:rPr>
      </w:pPr>
      <w:r w:rsidRPr="00881CB0">
        <w:rPr>
          <w:rFonts w:ascii="Garamond" w:hAnsi="Garamond" w:cs="Arial"/>
          <w:sz w:val="28"/>
          <w:szCs w:val="28"/>
          <w:lang w:eastAsia="en-US"/>
        </w:rPr>
        <w:t>-skazany w skardze poruszał kwestie niezrealizowania widzenia z osobami bliskimi podczas pobytu w zakładzie karnym. Na skutek oczywistego błędu ludzkiego, polegającego na niedopatrzeniu, funkcjonariusz zakładu udzielił osadzonemu widzenia regulaminowego,</w:t>
      </w:r>
      <w:r w:rsidR="001F5EA5">
        <w:rPr>
          <w:rFonts w:ascii="Garamond" w:hAnsi="Garamond" w:cs="Arial"/>
          <w:sz w:val="28"/>
          <w:szCs w:val="28"/>
          <w:lang w:eastAsia="en-US"/>
        </w:rPr>
        <w:t xml:space="preserve"> wynikającego z art. 91 pkt. 8 k.</w:t>
      </w:r>
      <w:r w:rsidRPr="00881CB0">
        <w:rPr>
          <w:rFonts w:ascii="Garamond" w:hAnsi="Garamond" w:cs="Arial"/>
          <w:sz w:val="28"/>
          <w:szCs w:val="28"/>
          <w:lang w:eastAsia="en-US"/>
        </w:rPr>
        <w:t>k</w:t>
      </w:r>
      <w:r w:rsidR="001F5EA5">
        <w:rPr>
          <w:rFonts w:ascii="Garamond" w:hAnsi="Garamond" w:cs="Arial"/>
          <w:sz w:val="28"/>
          <w:szCs w:val="28"/>
          <w:lang w:eastAsia="en-US"/>
        </w:rPr>
        <w:t>.</w:t>
      </w:r>
      <w:r w:rsidRPr="00881CB0">
        <w:rPr>
          <w:rFonts w:ascii="Garamond" w:hAnsi="Garamond" w:cs="Arial"/>
          <w:sz w:val="28"/>
          <w:szCs w:val="28"/>
          <w:lang w:eastAsia="en-US"/>
        </w:rPr>
        <w:t>w</w:t>
      </w:r>
      <w:r w:rsidR="001F5EA5">
        <w:rPr>
          <w:rFonts w:ascii="Garamond" w:hAnsi="Garamond" w:cs="Arial"/>
          <w:sz w:val="28"/>
          <w:szCs w:val="28"/>
          <w:lang w:eastAsia="en-US"/>
        </w:rPr>
        <w:t>.</w:t>
      </w:r>
      <w:r w:rsidRPr="00881CB0">
        <w:rPr>
          <w:rFonts w:ascii="Garamond" w:hAnsi="Garamond" w:cs="Arial"/>
          <w:sz w:val="28"/>
          <w:szCs w:val="28"/>
          <w:lang w:eastAsia="en-US"/>
        </w:rPr>
        <w:t xml:space="preserve">, pomimo iż skazany zdeklarował chęć zrealizowania widzenia z dzieckiem. W innym dniu </w:t>
      </w:r>
      <w:r w:rsidR="00ED7B72">
        <w:rPr>
          <w:rFonts w:ascii="Garamond" w:hAnsi="Garamond" w:cs="Arial"/>
          <w:sz w:val="28"/>
          <w:szCs w:val="28"/>
          <w:lang w:eastAsia="en-US"/>
        </w:rPr>
        <w:t xml:space="preserve">                    </w:t>
      </w:r>
      <w:r w:rsidRPr="00881CB0">
        <w:rPr>
          <w:rFonts w:ascii="Garamond" w:hAnsi="Garamond" w:cs="Arial"/>
          <w:sz w:val="28"/>
          <w:szCs w:val="28"/>
          <w:lang w:eastAsia="en-US"/>
        </w:rPr>
        <w:t>nie wpuszczono na teren zakładu rodziców skazanego, przez co widzenie nie zostało zrealizowane, ponieważ osadzony posiadał tylko prawo do zrealizowania widzeni</w:t>
      </w:r>
      <w:r w:rsidR="001F5EA5">
        <w:rPr>
          <w:rFonts w:ascii="Garamond" w:hAnsi="Garamond" w:cs="Arial"/>
          <w:sz w:val="28"/>
          <w:szCs w:val="28"/>
          <w:lang w:eastAsia="en-US"/>
        </w:rPr>
        <w:t>a wynikającego z art. 105a § 3 k</w:t>
      </w:r>
      <w:r w:rsidRPr="00881CB0">
        <w:rPr>
          <w:rFonts w:ascii="Garamond" w:hAnsi="Garamond" w:cs="Arial"/>
          <w:sz w:val="28"/>
          <w:szCs w:val="28"/>
          <w:lang w:eastAsia="en-US"/>
        </w:rPr>
        <w:t xml:space="preserve">.k.w. W ramach zrekompensowania straty </w:t>
      </w:r>
      <w:r w:rsidR="007F3722">
        <w:rPr>
          <w:rFonts w:ascii="Garamond" w:hAnsi="Garamond" w:cs="Arial"/>
          <w:sz w:val="28"/>
          <w:szCs w:val="28"/>
          <w:lang w:eastAsia="en-US"/>
        </w:rPr>
        <w:t xml:space="preserve">    </w:t>
      </w:r>
      <w:r w:rsidRPr="00881CB0">
        <w:rPr>
          <w:rFonts w:ascii="Garamond" w:hAnsi="Garamond" w:cs="Arial"/>
          <w:sz w:val="28"/>
          <w:szCs w:val="28"/>
          <w:lang w:eastAsia="en-US"/>
        </w:rPr>
        <w:t xml:space="preserve">z powodu pozbawiania widzenia, skazanemu udzielono nagrody </w:t>
      </w:r>
      <w:r w:rsidR="001F5EA5">
        <w:rPr>
          <w:rFonts w:ascii="Garamond" w:hAnsi="Garamond" w:cs="Arial"/>
          <w:sz w:val="28"/>
          <w:szCs w:val="28"/>
          <w:lang w:eastAsia="en-US"/>
        </w:rPr>
        <w:t xml:space="preserve">w postaci dodatkowego widzenia. </w:t>
      </w:r>
      <w:r w:rsidRPr="00881CB0">
        <w:rPr>
          <w:rFonts w:ascii="Garamond" w:hAnsi="Garamond" w:cs="Arial"/>
          <w:sz w:val="28"/>
          <w:szCs w:val="28"/>
          <w:lang w:eastAsia="en-US"/>
        </w:rPr>
        <w:t>Z osobą winną uchybienia dyrektor zakładu przeprowadził udokumentowaną rozmowę dyscyplinarną. W celu uniknięcia podobnych zdarzeń w przyszłości w zakładzie przeprowadzono szkolenie dla funkcjonariuszy z obsługi modułu widzeń w systemie Neo.NET.</w:t>
      </w:r>
    </w:p>
    <w:p w:rsidR="00D97C0A" w:rsidRPr="00BC773D" w:rsidRDefault="00D97C0A" w:rsidP="001F5EA5">
      <w:pPr>
        <w:tabs>
          <w:tab w:val="left" w:pos="4210"/>
        </w:tabs>
        <w:spacing w:line="360" w:lineRule="auto"/>
        <w:jc w:val="both"/>
        <w:rPr>
          <w:rFonts w:ascii="Garamond" w:hAnsi="Garamond" w:cs="Arial"/>
          <w:lang w:eastAsia="en-US"/>
        </w:rPr>
      </w:pPr>
    </w:p>
    <w:p w:rsidR="00881CB0" w:rsidRPr="00881CB0" w:rsidRDefault="00881CB0" w:rsidP="00881CB0">
      <w:pPr>
        <w:keepNext/>
        <w:tabs>
          <w:tab w:val="left" w:pos="2836"/>
        </w:tabs>
        <w:spacing w:line="360" w:lineRule="auto"/>
        <w:jc w:val="both"/>
        <w:outlineLvl w:val="2"/>
        <w:rPr>
          <w:rFonts w:ascii="Garamond" w:hAnsi="Garamond" w:cs="Arial"/>
          <w:b/>
          <w:sz w:val="28"/>
          <w:szCs w:val="28"/>
          <w:lang w:eastAsia="pl-PL"/>
        </w:rPr>
      </w:pPr>
      <w:bookmarkStart w:id="43" w:name="_Toc485388680"/>
      <w:bookmarkStart w:id="44" w:name="__RefHeading__3490_933653961"/>
      <w:r w:rsidRPr="00881CB0">
        <w:rPr>
          <w:rFonts w:ascii="Garamond" w:hAnsi="Garamond" w:cs="Arial"/>
          <w:b/>
          <w:sz w:val="28"/>
          <w:szCs w:val="28"/>
          <w:lang w:eastAsia="pl-PL"/>
        </w:rPr>
        <w:lastRenderedPageBreak/>
        <w:t>5.2.9. W zakresie paczek (SPC)</w:t>
      </w:r>
      <w:bookmarkEnd w:id="43"/>
      <w:bookmarkEnd w:id="44"/>
    </w:p>
    <w:p w:rsidR="00881CB0" w:rsidRPr="00881CB0" w:rsidRDefault="00881CB0" w:rsidP="001F5EA5">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Dyrektor okręgowy Służby Więziennej uznał za zasadną skargę w zakresie bezpodstawnego zwrotu paczki. W toku postępowania ustalono, że do jednostki została dostarczona paczka adresowana do osadzonego, na której naklejone były dwa talony – na paczkę higieniczną oraz odzieżową. Funkcjonariusz, który pełnił służbę na stanowisku paczkowego wyjaśnił, iż w jego ocenie, w obowiązującym porządku wewnętrznym nie było informacji o paczkach mieszanych, dlatego </w:t>
      </w:r>
      <w:r w:rsidR="00BF1AC6">
        <w:rPr>
          <w:rFonts w:ascii="Garamond" w:hAnsi="Garamond" w:cs="Arial"/>
          <w:sz w:val="28"/>
          <w:szCs w:val="28"/>
          <w:lang w:eastAsia="en-US"/>
        </w:rPr>
        <w:t xml:space="preserve">       </w:t>
      </w:r>
      <w:r w:rsidRPr="00881CB0">
        <w:rPr>
          <w:rFonts w:ascii="Garamond" w:hAnsi="Garamond" w:cs="Arial"/>
          <w:sz w:val="28"/>
          <w:szCs w:val="28"/>
          <w:lang w:eastAsia="en-US"/>
        </w:rPr>
        <w:t>też paczka nie została przyjęta i odesłana do nadawcy. Ponadto waga paczki wynosiła 6,5 kg, co w ocenie funkcjonariusza było kolejnym naruszeniem zasad przyjmowania paczek. Wykazano, że odmowa przyjęcia paczki, na którą naklejone były dwa talony – na paczkę higieniczną oraz odzieżową, była postępowaniem nieuzasadnionym. Obowiązujące w tym zakresie przepisy (ustalenia porządku wewnętrznego w zakładzie karnym) nie wskazują bowiem, iż nie można łączyć      ww. rodzaju paczek, ani też nie określają dopuszczalnej wagi dla paczek odzieżowych i higienicznych. Wskutek uznania zarzutu za uzasadniony w jednostce wprowadzono zasadę, że ostateczną decyzję w zakresie odmowy przyjęcia paczki każdorazowo będzie podejmował kierujący oddziałem penitencjarnym. Powyższa kwestia została szczegółowo omówiona podczas szkolenia działu ochrony. Odstąpiono od konsekwencji służbowych wobec funkcjonariusza, który przyczynił się do zasadności skargi, z powodu braku umyślnego działania. Skarga została również omówiona na posiedzeniu kierownictwa jednostki;</w:t>
      </w:r>
    </w:p>
    <w:p w:rsidR="00881CB0" w:rsidRPr="00881CB0" w:rsidRDefault="00881CB0" w:rsidP="001F5EA5">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podstawą do sporządzenia skargi i uznania jej za zasadną przez dyrektora okręgowego Służby Więziennej było uniemożliwienie osadzonemu zakupienia          9 litrów napojów. Na podstawie przeprowadzonego postępowania ustalono,             że faktycznie w trakcie dokonywania zakupów ograniczono skazanemu możliwość dokonania zakupu napojów. Jak wynika z Zarządzenia Nr 19 Dyrektora Generalnego Służby Więziennej z dnia 12.06.2015 r. w sprawie określenia dopuszczalnej ilości i wymiarów rzeczy, w tym żywności, znajdujących się                w posiadaniu skazanego w zakładzie karnym oraz sposobu postępowania                     z przedmiotami i żywnością, których wymiary lub ilość naruszają obowiązujący porządek lub utrudniają konwojowanie ograniczenie możliwości dokonania zakupu </w:t>
      </w:r>
      <w:r w:rsidRPr="00881CB0">
        <w:rPr>
          <w:rFonts w:ascii="Garamond" w:hAnsi="Garamond" w:cs="Arial"/>
          <w:sz w:val="28"/>
          <w:szCs w:val="28"/>
          <w:lang w:eastAsia="en-US"/>
        </w:rPr>
        <w:lastRenderedPageBreak/>
        <w:t>9 litrów napojów, poza limite</w:t>
      </w:r>
      <w:r w:rsidR="001F5EA5">
        <w:rPr>
          <w:rFonts w:ascii="Garamond" w:hAnsi="Garamond" w:cs="Arial"/>
          <w:sz w:val="28"/>
          <w:szCs w:val="28"/>
          <w:lang w:eastAsia="en-US"/>
        </w:rPr>
        <w:t>m wynikającym z art. 110 a § 1 k</w:t>
      </w:r>
      <w:r w:rsidRPr="00881CB0">
        <w:rPr>
          <w:rFonts w:ascii="Garamond" w:hAnsi="Garamond" w:cs="Arial"/>
          <w:sz w:val="28"/>
          <w:szCs w:val="28"/>
          <w:lang w:eastAsia="en-US"/>
        </w:rPr>
        <w:t>.k.w., czyli                    6 kilogramów, było niewłaściwe;</w:t>
      </w:r>
    </w:p>
    <w:p w:rsidR="00881CB0" w:rsidRPr="00881CB0" w:rsidRDefault="00881CB0" w:rsidP="001F5EA5">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Dyrektor okręgowy Służby Więziennej uznał za zasadne 2 skargi w części dotyczącej zwłoki w dostarczeniu</w:t>
      </w:r>
      <w:r w:rsidR="00784A30">
        <w:rPr>
          <w:rFonts w:ascii="Garamond" w:hAnsi="Garamond" w:cs="Arial"/>
          <w:sz w:val="28"/>
          <w:szCs w:val="28"/>
          <w:lang w:eastAsia="en-US"/>
        </w:rPr>
        <w:t xml:space="preserve"> paczki higieniczno-odzieżowej. </w:t>
      </w:r>
      <w:r w:rsidRPr="00881CB0">
        <w:rPr>
          <w:rFonts w:ascii="Garamond" w:hAnsi="Garamond" w:cs="Arial"/>
          <w:sz w:val="28"/>
          <w:szCs w:val="28"/>
          <w:lang w:eastAsia="en-US"/>
        </w:rPr>
        <w:t xml:space="preserve">Rzeczy znajdujące się w paczce zostały osadzonemu wydane w osiemnastym dniu </w:t>
      </w:r>
      <w:r w:rsidR="00784A30">
        <w:rPr>
          <w:rFonts w:ascii="Garamond" w:hAnsi="Garamond" w:cs="Arial"/>
          <w:sz w:val="28"/>
          <w:szCs w:val="28"/>
          <w:lang w:eastAsia="en-US"/>
        </w:rPr>
        <w:t xml:space="preserve"> </w:t>
      </w:r>
      <w:r w:rsidRPr="00881CB0">
        <w:rPr>
          <w:rFonts w:ascii="Garamond" w:hAnsi="Garamond" w:cs="Arial"/>
          <w:sz w:val="28"/>
          <w:szCs w:val="28"/>
          <w:lang w:eastAsia="en-US"/>
        </w:rPr>
        <w:t xml:space="preserve">liczonym od dnia przyjęcia paczki do jednostki a w jedenastym dniu roboczym. </w:t>
      </w:r>
      <w:r w:rsidR="001F5EA5">
        <w:rPr>
          <w:rFonts w:ascii="Garamond" w:hAnsi="Garamond" w:cs="Arial"/>
          <w:sz w:val="28"/>
          <w:szCs w:val="28"/>
          <w:lang w:eastAsia="en-US"/>
        </w:rPr>
        <w:t xml:space="preserve">                      </w:t>
      </w:r>
      <w:r w:rsidRPr="00881CB0">
        <w:rPr>
          <w:rFonts w:ascii="Garamond" w:hAnsi="Garamond" w:cs="Arial"/>
          <w:sz w:val="28"/>
          <w:szCs w:val="28"/>
          <w:lang w:eastAsia="en-US"/>
        </w:rPr>
        <w:t>Takie działanie administracji zakładu stoi w sprzeczności z uregulowaniami porządku wewnętrznego jednostki, w którym ustalono, że paczki higieniczno-odzieżowe wydawane są w ciągu 7 dni roboczych. Nie ustalono osoby winnej zaniedbań, natomiast w jednostce wprowadzono zasadę kwitowania przez magazyniera fakt przyjęcia przez niego paczki do magazynu;</w:t>
      </w:r>
    </w:p>
    <w:p w:rsidR="00881CB0" w:rsidRPr="00881CB0" w:rsidRDefault="00881CB0" w:rsidP="001F5EA5">
      <w:pPr>
        <w:spacing w:line="360" w:lineRule="auto"/>
        <w:jc w:val="both"/>
        <w:rPr>
          <w:rFonts w:cs="Tahoma"/>
          <w:lang w:eastAsia="en-US"/>
        </w:rPr>
      </w:pPr>
      <w:r w:rsidRPr="00881CB0">
        <w:rPr>
          <w:rFonts w:ascii="Garamond" w:hAnsi="Garamond" w:cs="Arial"/>
          <w:sz w:val="28"/>
          <w:szCs w:val="28"/>
          <w:lang w:eastAsia="en-US"/>
        </w:rPr>
        <w:t xml:space="preserve">- Dyrektor okręgowy Służby Więziennej uznał za zasadne dwie skargi dotyczące czasu realizacji zamówienia na e-paczkę. Ustalono, że brak jest podstaw do przyjęcia za uprawnione traktowanie zamówień złożonych u oddziałowego </w:t>
      </w:r>
      <w:r w:rsidR="00ED7B72">
        <w:rPr>
          <w:rFonts w:ascii="Garamond" w:hAnsi="Garamond" w:cs="Arial"/>
          <w:sz w:val="28"/>
          <w:szCs w:val="28"/>
          <w:lang w:eastAsia="en-US"/>
        </w:rPr>
        <w:t xml:space="preserve">      </w:t>
      </w:r>
      <w:r w:rsidR="00784A30">
        <w:rPr>
          <w:rFonts w:ascii="Garamond" w:hAnsi="Garamond" w:cs="Arial"/>
          <w:sz w:val="28"/>
          <w:szCs w:val="28"/>
          <w:lang w:eastAsia="en-US"/>
        </w:rPr>
        <w:t xml:space="preserve">    </w:t>
      </w:r>
      <w:r w:rsidR="00ED7B72">
        <w:rPr>
          <w:rFonts w:ascii="Garamond" w:hAnsi="Garamond" w:cs="Arial"/>
          <w:sz w:val="28"/>
          <w:szCs w:val="28"/>
          <w:lang w:eastAsia="en-US"/>
        </w:rPr>
        <w:t xml:space="preserve"> </w:t>
      </w:r>
      <w:r w:rsidRPr="00881CB0">
        <w:rPr>
          <w:rFonts w:ascii="Garamond" w:hAnsi="Garamond" w:cs="Arial"/>
          <w:sz w:val="28"/>
          <w:szCs w:val="28"/>
          <w:lang w:eastAsia="en-US"/>
        </w:rPr>
        <w:t>po godzinie 10</w:t>
      </w:r>
      <w:r w:rsidRPr="00881CB0">
        <w:rPr>
          <w:rFonts w:ascii="Garamond" w:hAnsi="Garamond" w:cs="Arial"/>
          <w:sz w:val="28"/>
          <w:szCs w:val="28"/>
          <w:vertAlign w:val="superscript"/>
          <w:lang w:eastAsia="en-US"/>
        </w:rPr>
        <w:t>00</w:t>
      </w:r>
      <w:r w:rsidRPr="00881CB0">
        <w:rPr>
          <w:rFonts w:ascii="Garamond" w:hAnsi="Garamond" w:cs="Arial"/>
          <w:sz w:val="28"/>
          <w:szCs w:val="28"/>
          <w:lang w:eastAsia="en-US"/>
        </w:rPr>
        <w:t>, jako złożonych dnia następnego oraz liczenie terminu realizacji zamówienia jeszcze od kolejnego dnia. W wyniku uznania zarzutów za uzasadnione pouczono pracowników kantyny tj. podmiotu realizującego zamówienia na              e-paczki o zasadach określenia daty wpływu zamówienia oraz o prawidłowym sposobie liczenia terminu realizacji zamówienia. Omówiono zasady postępowania       z zamówieniami na e-paczki od momentu złożenia aż do realizacji oraz określono właściwy sposób postęp</w:t>
      </w:r>
      <w:r w:rsidR="00784A30">
        <w:rPr>
          <w:rFonts w:ascii="Garamond" w:hAnsi="Garamond" w:cs="Arial"/>
          <w:sz w:val="28"/>
          <w:szCs w:val="28"/>
          <w:lang w:eastAsia="en-US"/>
        </w:rPr>
        <w:t>owania z dokumentacją składającą</w:t>
      </w:r>
      <w:r w:rsidRPr="00881CB0">
        <w:rPr>
          <w:rFonts w:ascii="Garamond" w:hAnsi="Garamond" w:cs="Arial"/>
          <w:sz w:val="28"/>
          <w:szCs w:val="28"/>
          <w:lang w:eastAsia="en-US"/>
        </w:rPr>
        <w:t xml:space="preserve"> się na zamówienie.</w:t>
      </w:r>
    </w:p>
    <w:p w:rsidR="00881CB0" w:rsidRPr="00D97C0A" w:rsidRDefault="00881CB0" w:rsidP="001F5EA5">
      <w:pPr>
        <w:spacing w:line="360" w:lineRule="auto"/>
        <w:jc w:val="both"/>
        <w:rPr>
          <w:rFonts w:cs="Tahoma"/>
          <w:sz w:val="20"/>
          <w:szCs w:val="20"/>
          <w:lang w:eastAsia="en-US"/>
        </w:rPr>
      </w:pPr>
    </w:p>
    <w:p w:rsidR="00881CB0" w:rsidRPr="00881CB0" w:rsidRDefault="00881CB0" w:rsidP="00881CB0">
      <w:pPr>
        <w:keepNext/>
        <w:tabs>
          <w:tab w:val="left" w:pos="2836"/>
        </w:tabs>
        <w:spacing w:line="360" w:lineRule="auto"/>
        <w:jc w:val="both"/>
        <w:outlineLvl w:val="2"/>
        <w:rPr>
          <w:rFonts w:cs="Tahoma"/>
          <w:b/>
          <w:sz w:val="40"/>
          <w:lang w:eastAsia="pl-PL"/>
        </w:rPr>
      </w:pPr>
      <w:bookmarkStart w:id="45" w:name="_Toc386125902"/>
      <w:bookmarkStart w:id="46" w:name="_Toc485388681"/>
      <w:bookmarkStart w:id="47" w:name="__RefHeading__3492_933653961"/>
      <w:r w:rsidRPr="00881CB0">
        <w:rPr>
          <w:rFonts w:ascii="Garamond" w:hAnsi="Garamond" w:cs="Arial"/>
          <w:b/>
          <w:sz w:val="28"/>
          <w:szCs w:val="28"/>
          <w:lang w:eastAsia="pl-PL"/>
        </w:rPr>
        <w:t>5.2.10. W zakresie realizacji zakupów (SRZ)</w:t>
      </w:r>
      <w:bookmarkEnd w:id="45"/>
      <w:bookmarkEnd w:id="46"/>
      <w:bookmarkEnd w:id="47"/>
    </w:p>
    <w:p w:rsidR="00881CB0" w:rsidRDefault="00881CB0" w:rsidP="001F5EA5">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za zasadną uznano skargę osadzonego w zakresie realizacji zakupów w kantynie. Ustalono, że przekroczono termin realizacji zakupów o jeden dzień,                        co spowodowane było znacznym zwiększeniem ilości zakupów w okresie przedświątecznym. Skarga została omówiona na odprawie kierownictwa, wystosowano pismo upominające do firmy realizującej zakupy, wprowadzono zmiany w porządku wewnętrznym, wydłużono czas realizacji wypiski o jeden dzień.</w:t>
      </w:r>
    </w:p>
    <w:p w:rsidR="001F5EA5" w:rsidRPr="00784A30" w:rsidRDefault="001F5EA5" w:rsidP="001F5EA5">
      <w:pPr>
        <w:spacing w:line="360" w:lineRule="auto"/>
        <w:jc w:val="both"/>
        <w:rPr>
          <w:rFonts w:ascii="Garamond" w:hAnsi="Garamond" w:cs="Arial"/>
          <w:sz w:val="18"/>
          <w:szCs w:val="18"/>
          <w:lang w:eastAsia="en-US"/>
        </w:rPr>
      </w:pPr>
    </w:p>
    <w:p w:rsidR="00881CB0" w:rsidRPr="00881CB0" w:rsidRDefault="00881CB0" w:rsidP="00881CB0">
      <w:pPr>
        <w:keepNext/>
        <w:tabs>
          <w:tab w:val="left" w:pos="2836"/>
        </w:tabs>
        <w:spacing w:line="360" w:lineRule="auto"/>
        <w:jc w:val="both"/>
        <w:outlineLvl w:val="2"/>
        <w:rPr>
          <w:rFonts w:ascii="Garamond" w:hAnsi="Garamond" w:cs="Arial"/>
          <w:b/>
          <w:sz w:val="28"/>
          <w:szCs w:val="28"/>
          <w:lang w:eastAsia="pl-PL"/>
        </w:rPr>
      </w:pPr>
      <w:bookmarkStart w:id="48" w:name="_Toc386125910"/>
      <w:bookmarkStart w:id="49" w:name="_Toc485388682"/>
      <w:bookmarkStart w:id="50" w:name="__RefHeading__3494_933653961"/>
      <w:r w:rsidRPr="00881CB0">
        <w:rPr>
          <w:rFonts w:ascii="Garamond" w:hAnsi="Garamond" w:cs="Arial"/>
          <w:b/>
          <w:sz w:val="28"/>
          <w:szCs w:val="28"/>
          <w:lang w:eastAsia="pl-PL"/>
        </w:rPr>
        <w:t>5.2.11. W zakresie przepustek (SPZ)</w:t>
      </w:r>
      <w:bookmarkEnd w:id="48"/>
      <w:bookmarkEnd w:id="49"/>
      <w:bookmarkEnd w:id="50"/>
    </w:p>
    <w:p w:rsidR="00881CB0" w:rsidRPr="00881CB0" w:rsidRDefault="00881CB0" w:rsidP="001F5EA5">
      <w:pPr>
        <w:spacing w:after="200" w:line="360" w:lineRule="auto"/>
        <w:jc w:val="both"/>
        <w:rPr>
          <w:rFonts w:cs="Tahoma"/>
          <w:lang w:eastAsia="en-US"/>
        </w:rPr>
      </w:pPr>
      <w:r w:rsidRPr="00881CB0">
        <w:rPr>
          <w:rFonts w:ascii="Garamond" w:hAnsi="Garamond" w:cs="Arial"/>
          <w:sz w:val="28"/>
          <w:szCs w:val="28"/>
          <w:lang w:eastAsia="en-US"/>
        </w:rPr>
        <w:t xml:space="preserve">- Dyrektor okręgowy Służby Więziennej uznał za zasadną skargę w kwestii </w:t>
      </w:r>
      <w:r w:rsidRPr="00881CB0">
        <w:rPr>
          <w:rFonts w:ascii="Garamond" w:hAnsi="Garamond" w:cs="Arial"/>
          <w:sz w:val="28"/>
          <w:szCs w:val="28"/>
          <w:lang w:eastAsia="en-US"/>
        </w:rPr>
        <w:lastRenderedPageBreak/>
        <w:t xml:space="preserve">dotyczącej niezrealizowania w zakładzie karnym zezwolenia, o którym mowa </w:t>
      </w:r>
      <w:r w:rsidR="001F5EA5">
        <w:rPr>
          <w:rFonts w:ascii="Garamond" w:hAnsi="Garamond" w:cs="Arial"/>
          <w:sz w:val="28"/>
          <w:szCs w:val="28"/>
          <w:lang w:eastAsia="en-US"/>
        </w:rPr>
        <w:t xml:space="preserve">          w art. 138 § 1 pkt 8 k</w:t>
      </w:r>
      <w:r w:rsidRPr="00881CB0">
        <w:rPr>
          <w:rFonts w:ascii="Garamond" w:hAnsi="Garamond" w:cs="Arial"/>
          <w:sz w:val="28"/>
          <w:szCs w:val="28"/>
          <w:lang w:eastAsia="en-US"/>
        </w:rPr>
        <w:t>.k.w. W związku z powyższym kierownik działu penitencjarnego przeprowadził szkolenie działowe na temat sposobu realizacji zezwolenia, o którym mowa w wym. przepisie w przypadku braku na koncie skazanego środków finansowych do dyspozycji. Również przez wyc</w:t>
      </w:r>
      <w:r w:rsidR="001F5EA5">
        <w:rPr>
          <w:rFonts w:ascii="Garamond" w:hAnsi="Garamond" w:cs="Arial"/>
          <w:sz w:val="28"/>
          <w:szCs w:val="28"/>
          <w:lang w:eastAsia="en-US"/>
        </w:rPr>
        <w:t>howawcę         ds. pomocy post</w:t>
      </w:r>
      <w:r w:rsidRPr="00881CB0">
        <w:rPr>
          <w:rFonts w:ascii="Garamond" w:hAnsi="Garamond" w:cs="Arial"/>
          <w:sz w:val="28"/>
          <w:szCs w:val="28"/>
          <w:lang w:eastAsia="en-US"/>
        </w:rPr>
        <w:t>p</w:t>
      </w:r>
      <w:r w:rsidR="001F5EA5">
        <w:rPr>
          <w:rFonts w:ascii="Garamond" w:hAnsi="Garamond" w:cs="Arial"/>
          <w:sz w:val="28"/>
          <w:szCs w:val="28"/>
          <w:lang w:eastAsia="en-US"/>
        </w:rPr>
        <w:t>e</w:t>
      </w:r>
      <w:r w:rsidRPr="00881CB0">
        <w:rPr>
          <w:rFonts w:ascii="Garamond" w:hAnsi="Garamond" w:cs="Arial"/>
          <w:sz w:val="28"/>
          <w:szCs w:val="28"/>
          <w:lang w:eastAsia="en-US"/>
        </w:rPr>
        <w:t xml:space="preserve">nitencjarnej zostało przeprowadzone szkolenie na temat udzielenia skazanym pomocy postpenitencjarnej na podstawie rozporządzenia Ministra Sprawiedliwości z dnia 29.09.2015 r. </w:t>
      </w:r>
      <w:r w:rsidRPr="00881CB0">
        <w:rPr>
          <w:rFonts w:ascii="Garamond" w:hAnsi="Garamond" w:cs="Arial"/>
          <w:i/>
          <w:iCs/>
          <w:sz w:val="28"/>
          <w:szCs w:val="28"/>
          <w:lang w:eastAsia="en-US"/>
        </w:rPr>
        <w:t>w sprawie Funduszu Pomocy Pokrzywdzonym oraz Pomocy Postpenitencjarnej.</w:t>
      </w:r>
    </w:p>
    <w:p w:rsidR="00881CB0" w:rsidRPr="00881CB0" w:rsidRDefault="00881CB0" w:rsidP="00881CB0">
      <w:pPr>
        <w:keepNext/>
        <w:tabs>
          <w:tab w:val="left" w:pos="2836"/>
        </w:tabs>
        <w:spacing w:line="360" w:lineRule="auto"/>
        <w:jc w:val="both"/>
        <w:outlineLvl w:val="2"/>
        <w:rPr>
          <w:rFonts w:ascii="Garamond" w:hAnsi="Garamond" w:cs="Arial"/>
          <w:b/>
          <w:sz w:val="28"/>
          <w:szCs w:val="28"/>
          <w:lang w:eastAsia="pl-PL"/>
        </w:rPr>
      </w:pPr>
      <w:bookmarkStart w:id="51" w:name="__RefHeading__3496_933653961"/>
      <w:bookmarkStart w:id="52" w:name="_Toc386125905"/>
      <w:bookmarkStart w:id="53" w:name="_Toc485388683"/>
      <w:r w:rsidRPr="00881CB0">
        <w:rPr>
          <w:rFonts w:ascii="Garamond" w:hAnsi="Garamond" w:cs="Arial"/>
          <w:b/>
          <w:sz w:val="28"/>
          <w:szCs w:val="28"/>
          <w:lang w:eastAsia="pl-PL"/>
        </w:rPr>
        <w:t>5.2.12. W zakresie sposobu załatwienia skargi (SZS)</w:t>
      </w:r>
      <w:bookmarkEnd w:id="51"/>
      <w:bookmarkEnd w:id="52"/>
      <w:bookmarkEnd w:id="53"/>
    </w:p>
    <w:p w:rsidR="00881CB0" w:rsidRPr="00881CB0" w:rsidRDefault="00881CB0" w:rsidP="00881CB0">
      <w:pPr>
        <w:tabs>
          <w:tab w:val="left" w:pos="360"/>
          <w:tab w:val="left" w:pos="833"/>
        </w:tabs>
        <w:spacing w:line="360" w:lineRule="auto"/>
        <w:jc w:val="both"/>
        <w:rPr>
          <w:rFonts w:ascii="Garamond" w:hAnsi="Garamond" w:cs="Arial"/>
          <w:color w:val="000000"/>
          <w:sz w:val="28"/>
          <w:szCs w:val="28"/>
          <w:lang w:eastAsia="pl-PL"/>
        </w:rPr>
      </w:pPr>
      <w:r w:rsidRPr="00881CB0">
        <w:rPr>
          <w:rFonts w:ascii="Garamond" w:hAnsi="Garamond" w:cs="Arial"/>
          <w:color w:val="000000"/>
          <w:sz w:val="28"/>
          <w:szCs w:val="28"/>
          <w:lang w:eastAsia="pl-PL"/>
        </w:rPr>
        <w:t xml:space="preserve">- Dyrektor okręgowy Służby Więziennej uznał za zasadną skargę skazanego,          w której skarżący żalił się na pozostawienie przez dyrektora aresztu jego poprzedniej skargi bez rozpoznania z uwagi na użycie w niej zwrotów lub wyrazów powszechnie uznawanych za obelżywe. W ocenie okręgowego inspektoratu </w:t>
      </w:r>
      <w:r w:rsidR="00784A30">
        <w:rPr>
          <w:rFonts w:ascii="Garamond" w:hAnsi="Garamond" w:cs="Arial"/>
          <w:color w:val="000000"/>
          <w:sz w:val="28"/>
          <w:szCs w:val="28"/>
          <w:lang w:eastAsia="pl-PL"/>
        </w:rPr>
        <w:t xml:space="preserve">   </w:t>
      </w:r>
      <w:r w:rsidRPr="00881CB0">
        <w:rPr>
          <w:rFonts w:ascii="Garamond" w:hAnsi="Garamond" w:cs="Arial"/>
          <w:color w:val="000000"/>
          <w:sz w:val="28"/>
          <w:szCs w:val="28"/>
          <w:lang w:eastAsia="pl-PL"/>
        </w:rPr>
        <w:t xml:space="preserve">Służby Więziennej żadnego ze zwrotów bądź wyrazów użytych przez skazanego </w:t>
      </w:r>
      <w:r w:rsidR="00784A30">
        <w:rPr>
          <w:rFonts w:ascii="Garamond" w:hAnsi="Garamond" w:cs="Arial"/>
          <w:color w:val="000000"/>
          <w:sz w:val="28"/>
          <w:szCs w:val="28"/>
          <w:lang w:eastAsia="pl-PL"/>
        </w:rPr>
        <w:t xml:space="preserve">     </w:t>
      </w:r>
      <w:r w:rsidRPr="00881CB0">
        <w:rPr>
          <w:rFonts w:ascii="Garamond" w:hAnsi="Garamond" w:cs="Arial"/>
          <w:color w:val="000000"/>
          <w:sz w:val="28"/>
          <w:szCs w:val="28"/>
          <w:lang w:eastAsia="pl-PL"/>
        </w:rPr>
        <w:t xml:space="preserve">w skardze nie należało zakwalifikować jako powszechnie uznawanego za </w:t>
      </w:r>
      <w:r w:rsidR="00784A30">
        <w:rPr>
          <w:rFonts w:ascii="Garamond" w:hAnsi="Garamond" w:cs="Arial"/>
          <w:color w:val="000000"/>
          <w:sz w:val="28"/>
          <w:szCs w:val="28"/>
          <w:lang w:eastAsia="pl-PL"/>
        </w:rPr>
        <w:t xml:space="preserve">  obelżywe. </w:t>
      </w:r>
      <w:r w:rsidRPr="00881CB0">
        <w:rPr>
          <w:rFonts w:ascii="Garamond" w:hAnsi="Garamond" w:cs="Arial"/>
          <w:color w:val="000000"/>
          <w:sz w:val="28"/>
          <w:szCs w:val="28"/>
          <w:lang w:eastAsia="pl-PL"/>
        </w:rPr>
        <w:t>Na okoliczność uznania tego zarzutu za zasadny skarga została ponownie merytorycznie rozpatrzona. Sposób załatwienia skargi omówiono na odprawie kierownictwa aresztu;</w:t>
      </w:r>
    </w:p>
    <w:p w:rsidR="00881CB0" w:rsidRPr="00881CB0" w:rsidRDefault="00881CB0" w:rsidP="00881CB0">
      <w:pPr>
        <w:tabs>
          <w:tab w:val="left" w:pos="360"/>
          <w:tab w:val="left" w:pos="833"/>
        </w:tabs>
        <w:spacing w:line="360" w:lineRule="auto"/>
        <w:jc w:val="both"/>
        <w:rPr>
          <w:rFonts w:ascii="Garamond" w:hAnsi="Garamond" w:cs="Arial"/>
          <w:color w:val="000000"/>
          <w:sz w:val="28"/>
          <w:szCs w:val="28"/>
          <w:lang w:eastAsia="pl-PL"/>
        </w:rPr>
      </w:pPr>
      <w:r w:rsidRPr="00881CB0">
        <w:rPr>
          <w:rFonts w:ascii="Garamond" w:hAnsi="Garamond" w:cs="Arial"/>
          <w:color w:val="000000"/>
          <w:sz w:val="28"/>
          <w:szCs w:val="28"/>
          <w:lang w:eastAsia="pl-PL"/>
        </w:rPr>
        <w:t>- Dyrektor okręgowy Służby Więziennej uznał skargę za zasadną w części dotyczącej sposobu załatwienia wcześniejszej skargi przez dyrektora aresztu.           W wyniku czynności wyjaśniających ustalono, że zawiadomienie o sposobie załatwienia skargi, skierowane do osadzonego, było bardzo ogólnikowe                    i lakoniczne, nie zwierało uzasadnienia merytorycznego poczynionego przez dyrektora jednostki rozstrzygnięcia.</w:t>
      </w:r>
    </w:p>
    <w:p w:rsidR="00881CB0" w:rsidRDefault="00881CB0" w:rsidP="00881CB0">
      <w:pPr>
        <w:tabs>
          <w:tab w:val="left" w:pos="360"/>
          <w:tab w:val="left" w:pos="833"/>
        </w:tabs>
        <w:spacing w:line="360" w:lineRule="auto"/>
        <w:jc w:val="both"/>
        <w:rPr>
          <w:rFonts w:ascii="Garamond" w:hAnsi="Garamond" w:cs="Arial"/>
          <w:color w:val="000000"/>
          <w:sz w:val="28"/>
          <w:szCs w:val="28"/>
          <w:lang w:eastAsia="pl-PL"/>
        </w:rPr>
      </w:pPr>
      <w:r w:rsidRPr="00881CB0">
        <w:rPr>
          <w:rFonts w:ascii="Garamond" w:hAnsi="Garamond" w:cs="Arial"/>
          <w:color w:val="000000"/>
          <w:sz w:val="28"/>
          <w:szCs w:val="28"/>
          <w:lang w:eastAsia="pl-PL"/>
        </w:rPr>
        <w:t xml:space="preserve">- Dyrektor okręgowy Służby Więziennej uznał za zasadną skargę w przedmiocie sposobu rozstrzygnięcia przez dyrektora zakładu karnego uprzedniej skargi             w zakresie postępowania z paczką z lekami. Osadzony zakwestionował postępowanie personelu medycznego jednostki, który dokonał otwarcia paczki pod nieobecność skarżącego. W toku prowadzonych czynności wyjaśniających ustalono, że paczka z lekami posiadała napis na kopercie „2 x opaska”, zaś lekarz nie </w:t>
      </w:r>
      <w:r w:rsidR="007F3722">
        <w:rPr>
          <w:rFonts w:ascii="Garamond" w:hAnsi="Garamond" w:cs="Arial"/>
          <w:color w:val="000000"/>
          <w:sz w:val="28"/>
          <w:szCs w:val="28"/>
          <w:lang w:eastAsia="pl-PL"/>
        </w:rPr>
        <w:t xml:space="preserve">  </w:t>
      </w:r>
      <w:r w:rsidRPr="00881CB0">
        <w:rPr>
          <w:rFonts w:ascii="Garamond" w:hAnsi="Garamond" w:cs="Arial"/>
          <w:color w:val="000000"/>
          <w:sz w:val="28"/>
          <w:szCs w:val="28"/>
          <w:lang w:eastAsia="pl-PL"/>
        </w:rPr>
        <w:lastRenderedPageBreak/>
        <w:t>widział podstaw do ich wydania. Dlatego też paczka została otwarta pod nieobecność osadzonego, a opaski pozostawiono w ambulatorium jednostki. Z</w:t>
      </w:r>
      <w:r w:rsidR="002C2F2D">
        <w:rPr>
          <w:rFonts w:ascii="Garamond" w:hAnsi="Garamond" w:cs="Arial"/>
          <w:color w:val="000000"/>
          <w:sz w:val="28"/>
          <w:szCs w:val="28"/>
          <w:lang w:eastAsia="pl-PL"/>
        </w:rPr>
        <w:t>godnie z zapisem art. 113a § 5 k</w:t>
      </w:r>
      <w:r w:rsidRPr="00881CB0">
        <w:rPr>
          <w:rFonts w:ascii="Garamond" w:hAnsi="Garamond" w:cs="Arial"/>
          <w:color w:val="000000"/>
          <w:sz w:val="28"/>
          <w:szCs w:val="28"/>
          <w:lang w:eastAsia="pl-PL"/>
        </w:rPr>
        <w:t xml:space="preserve">.k.w. paczki podlegają kontroli w obecności skazanego. Jak ustalono, paczka z lekami, przed wydaniem skazanemu została otwarta w ambulatorium jednostki bez obecności skazanego, co stoi </w:t>
      </w:r>
      <w:r w:rsidR="007F3722">
        <w:rPr>
          <w:rFonts w:ascii="Garamond" w:hAnsi="Garamond" w:cs="Arial"/>
          <w:color w:val="000000"/>
          <w:sz w:val="28"/>
          <w:szCs w:val="28"/>
          <w:lang w:eastAsia="pl-PL"/>
        </w:rPr>
        <w:t>w sprzeczności z ww. przepisem.</w:t>
      </w:r>
      <w:r w:rsidR="00BF1AC6">
        <w:rPr>
          <w:rFonts w:ascii="Garamond" w:hAnsi="Garamond" w:cs="Arial"/>
          <w:color w:val="000000"/>
          <w:sz w:val="28"/>
          <w:szCs w:val="28"/>
          <w:lang w:eastAsia="pl-PL"/>
        </w:rPr>
        <w:t xml:space="preserve"> </w:t>
      </w:r>
      <w:r w:rsidRPr="00881CB0">
        <w:rPr>
          <w:rFonts w:ascii="Garamond" w:hAnsi="Garamond" w:cs="Arial"/>
          <w:color w:val="000000"/>
          <w:sz w:val="28"/>
          <w:szCs w:val="28"/>
          <w:lang w:eastAsia="pl-PL"/>
        </w:rPr>
        <w:t>Nadto, po podjęciu przez lekarza decyzji o niewydaniu opa</w:t>
      </w:r>
      <w:r w:rsidR="00BF1AC6">
        <w:rPr>
          <w:rFonts w:ascii="Garamond" w:hAnsi="Garamond" w:cs="Arial"/>
          <w:color w:val="000000"/>
          <w:sz w:val="28"/>
          <w:szCs w:val="28"/>
          <w:lang w:eastAsia="pl-PL"/>
        </w:rPr>
        <w:t xml:space="preserve">sek elastycznych skazanemu, </w:t>
      </w:r>
      <w:r w:rsidRPr="00881CB0">
        <w:rPr>
          <w:rFonts w:ascii="Garamond" w:hAnsi="Garamond" w:cs="Arial"/>
          <w:color w:val="000000"/>
          <w:sz w:val="28"/>
          <w:szCs w:val="28"/>
          <w:lang w:eastAsia="pl-PL"/>
        </w:rPr>
        <w:t xml:space="preserve">nie sporządzono stosownego protokołu i nie przedstawiono go do decyzji dyrektora jednostki, niemniej jednak fakt ich pozostawienia w ambulatorium skazany potwierdził podpisem w książce </w:t>
      </w:r>
      <w:r w:rsidR="007F3722">
        <w:rPr>
          <w:rFonts w:ascii="Garamond" w:hAnsi="Garamond" w:cs="Arial"/>
          <w:color w:val="000000"/>
          <w:sz w:val="28"/>
          <w:szCs w:val="28"/>
          <w:lang w:eastAsia="pl-PL"/>
        </w:rPr>
        <w:t xml:space="preserve">    </w:t>
      </w:r>
      <w:r w:rsidRPr="00881CB0">
        <w:rPr>
          <w:rFonts w:ascii="Garamond" w:hAnsi="Garamond" w:cs="Arial"/>
          <w:color w:val="000000"/>
          <w:sz w:val="28"/>
          <w:szCs w:val="28"/>
          <w:lang w:eastAsia="pl-PL"/>
        </w:rPr>
        <w:t xml:space="preserve">doręczeń paczek. W związku z uznaniem skargi osadzonego za uzasadnioną </w:t>
      </w:r>
      <w:r w:rsidR="007F3722">
        <w:rPr>
          <w:rFonts w:ascii="Garamond" w:hAnsi="Garamond" w:cs="Arial"/>
          <w:color w:val="000000"/>
          <w:sz w:val="28"/>
          <w:szCs w:val="28"/>
          <w:lang w:eastAsia="pl-PL"/>
        </w:rPr>
        <w:t xml:space="preserve">           </w:t>
      </w:r>
      <w:r w:rsidRPr="00881CB0">
        <w:rPr>
          <w:rFonts w:ascii="Garamond" w:hAnsi="Garamond" w:cs="Arial"/>
          <w:color w:val="000000"/>
          <w:sz w:val="28"/>
          <w:szCs w:val="28"/>
          <w:lang w:eastAsia="pl-PL"/>
        </w:rPr>
        <w:t>w powyższym zakresie z lekarzem odpowiedzialnym za powstałe nieprawidłowości przeprowadzono rozmowę instruktażową. W celu wykluczenia podobnych sytuacji w przyszłości, wszyscy lekarze zatrudnieni w ambulatorium jednostki zostali poin</w:t>
      </w:r>
      <w:r w:rsidR="00BF1AC6">
        <w:rPr>
          <w:rFonts w:ascii="Garamond" w:hAnsi="Garamond" w:cs="Arial"/>
          <w:color w:val="000000"/>
          <w:sz w:val="28"/>
          <w:szCs w:val="28"/>
          <w:lang w:eastAsia="pl-PL"/>
        </w:rPr>
        <w:t>formowani</w:t>
      </w:r>
      <w:r w:rsidR="007F3722">
        <w:rPr>
          <w:rFonts w:ascii="Garamond" w:hAnsi="Garamond" w:cs="Arial"/>
          <w:color w:val="000000"/>
          <w:sz w:val="28"/>
          <w:szCs w:val="28"/>
          <w:lang w:eastAsia="pl-PL"/>
        </w:rPr>
        <w:t xml:space="preserve"> </w:t>
      </w:r>
      <w:r w:rsidRPr="00881CB0">
        <w:rPr>
          <w:rFonts w:ascii="Garamond" w:hAnsi="Garamond" w:cs="Arial"/>
          <w:color w:val="000000"/>
          <w:sz w:val="28"/>
          <w:szCs w:val="28"/>
          <w:lang w:eastAsia="pl-PL"/>
        </w:rPr>
        <w:t>o konieczności bezwzględnego przestrzegania zap</w:t>
      </w:r>
      <w:r w:rsidR="002C2F2D">
        <w:rPr>
          <w:rFonts w:ascii="Garamond" w:hAnsi="Garamond" w:cs="Arial"/>
          <w:color w:val="000000"/>
          <w:sz w:val="28"/>
          <w:szCs w:val="28"/>
          <w:lang w:eastAsia="pl-PL"/>
        </w:rPr>
        <w:t>isów zawartych w art. 113a § 5 k.</w:t>
      </w:r>
      <w:r w:rsidRPr="00881CB0">
        <w:rPr>
          <w:rFonts w:ascii="Garamond" w:hAnsi="Garamond" w:cs="Arial"/>
          <w:color w:val="000000"/>
          <w:sz w:val="28"/>
          <w:szCs w:val="28"/>
          <w:lang w:eastAsia="pl-PL"/>
        </w:rPr>
        <w:t>k</w:t>
      </w:r>
      <w:r w:rsidR="002C2F2D">
        <w:rPr>
          <w:rFonts w:ascii="Garamond" w:hAnsi="Garamond" w:cs="Arial"/>
          <w:color w:val="000000"/>
          <w:sz w:val="28"/>
          <w:szCs w:val="28"/>
          <w:lang w:eastAsia="pl-PL"/>
        </w:rPr>
        <w:t>.</w:t>
      </w:r>
      <w:r w:rsidRPr="00881CB0">
        <w:rPr>
          <w:rFonts w:ascii="Garamond" w:hAnsi="Garamond" w:cs="Arial"/>
          <w:color w:val="000000"/>
          <w:sz w:val="28"/>
          <w:szCs w:val="28"/>
          <w:lang w:eastAsia="pl-PL"/>
        </w:rPr>
        <w:t>w.</w:t>
      </w:r>
    </w:p>
    <w:p w:rsidR="002C2F2D" w:rsidRPr="00784A30" w:rsidRDefault="002C2F2D" w:rsidP="00881CB0">
      <w:pPr>
        <w:tabs>
          <w:tab w:val="left" w:pos="360"/>
          <w:tab w:val="left" w:pos="833"/>
        </w:tabs>
        <w:spacing w:line="360" w:lineRule="auto"/>
        <w:jc w:val="both"/>
        <w:rPr>
          <w:rFonts w:ascii="Garamond" w:hAnsi="Garamond" w:cs="Arial"/>
          <w:color w:val="000000"/>
          <w:lang w:eastAsia="pl-PL"/>
        </w:rPr>
      </w:pPr>
    </w:p>
    <w:p w:rsidR="00881CB0" w:rsidRPr="00881CB0" w:rsidRDefault="00881CB0" w:rsidP="00881CB0">
      <w:pPr>
        <w:keepNext/>
        <w:tabs>
          <w:tab w:val="left" w:pos="2836"/>
        </w:tabs>
        <w:spacing w:line="360" w:lineRule="auto"/>
        <w:jc w:val="both"/>
        <w:outlineLvl w:val="2"/>
        <w:rPr>
          <w:rFonts w:ascii="Garamond" w:hAnsi="Garamond" w:cs="Arial"/>
          <w:b/>
          <w:sz w:val="28"/>
          <w:szCs w:val="28"/>
          <w:lang w:eastAsia="pl-PL"/>
        </w:rPr>
      </w:pPr>
      <w:bookmarkStart w:id="54" w:name="_Toc485388684"/>
      <w:bookmarkStart w:id="55" w:name="__RefHeading__3498_933653961"/>
      <w:r w:rsidRPr="00881CB0">
        <w:rPr>
          <w:rFonts w:ascii="Garamond" w:hAnsi="Garamond" w:cs="Arial"/>
          <w:b/>
          <w:sz w:val="28"/>
          <w:szCs w:val="28"/>
          <w:lang w:eastAsia="pl-PL"/>
        </w:rPr>
        <w:t>5.2.13. W zakresie działalności kulturalno-oświatowej i sportowej (SOS)</w:t>
      </w:r>
      <w:bookmarkEnd w:id="54"/>
      <w:bookmarkEnd w:id="55"/>
    </w:p>
    <w:p w:rsidR="00881CB0" w:rsidRPr="00881CB0" w:rsidRDefault="00881CB0" w:rsidP="00881CB0">
      <w:pPr>
        <w:tabs>
          <w:tab w:val="left" w:pos="360"/>
          <w:tab w:val="left" w:pos="833"/>
        </w:tabs>
        <w:spacing w:line="360" w:lineRule="auto"/>
        <w:jc w:val="both"/>
        <w:rPr>
          <w:rFonts w:cs="Tahoma"/>
          <w:lang w:eastAsia="pl-PL"/>
        </w:rPr>
      </w:pPr>
      <w:r w:rsidRPr="00881CB0">
        <w:rPr>
          <w:rFonts w:ascii="Garamond" w:hAnsi="Garamond" w:cs="Arial"/>
          <w:color w:val="000000"/>
          <w:sz w:val="28"/>
          <w:szCs w:val="28"/>
          <w:lang w:eastAsia="pl-PL"/>
        </w:rPr>
        <w:t>- Dyrektor okręgowy Służby Więziennej uznał za zasadną skargę osadzonego            w zakresie pokrywania się czasu spaceru z czasem zajęć kulturalno-oświatowych          i odwoływania w związku z tym rzeczonych zajęć kulturalno-oświatowych.              W związku z uznaniem skargi za zasadną sporządzono nowy plan spacerów              i dokonano stosownych zmian organizacyjnych tak aby osadzeni nie musieli wybierać pomiędzy skorzystaniem ze spaceru, a udziałem w zajęciach kulturalno-oświatowych i sportowych;</w:t>
      </w:r>
    </w:p>
    <w:p w:rsidR="00881CB0" w:rsidRDefault="00881CB0" w:rsidP="00881CB0">
      <w:pPr>
        <w:tabs>
          <w:tab w:val="left" w:pos="360"/>
          <w:tab w:val="left" w:pos="833"/>
        </w:tabs>
        <w:spacing w:line="360" w:lineRule="auto"/>
        <w:jc w:val="both"/>
        <w:rPr>
          <w:rFonts w:ascii="Garamond" w:hAnsi="Garamond" w:cs="Arial"/>
          <w:sz w:val="28"/>
          <w:szCs w:val="28"/>
          <w:lang w:eastAsia="pl-PL"/>
        </w:rPr>
      </w:pPr>
      <w:r w:rsidRPr="00881CB0">
        <w:rPr>
          <w:rFonts w:cs="Tahoma"/>
          <w:lang w:eastAsia="pl-PL"/>
        </w:rPr>
        <w:t xml:space="preserve">- </w:t>
      </w:r>
      <w:r w:rsidRPr="00881CB0">
        <w:rPr>
          <w:rFonts w:ascii="Garamond" w:hAnsi="Garamond" w:cs="Arial"/>
          <w:sz w:val="28"/>
          <w:szCs w:val="28"/>
          <w:lang w:eastAsia="pl-PL"/>
        </w:rPr>
        <w:t>Dyrektor aresztu śledczego uznał za zasadną skargę tymczasowo aresztowanego         w części dotyczącej pozbawienia go zajęć kulturalno-oświatowych. W wyniku prowadzoneg</w:t>
      </w:r>
      <w:r w:rsidR="007344C7">
        <w:rPr>
          <w:rFonts w:ascii="Garamond" w:hAnsi="Garamond" w:cs="Arial"/>
          <w:sz w:val="28"/>
          <w:szCs w:val="28"/>
          <w:lang w:eastAsia="pl-PL"/>
        </w:rPr>
        <w:t xml:space="preserve">o postępowania wyjaśniającego w </w:t>
      </w:r>
      <w:r w:rsidRPr="00881CB0">
        <w:rPr>
          <w:rFonts w:ascii="Garamond" w:hAnsi="Garamond" w:cs="Arial"/>
          <w:sz w:val="28"/>
          <w:szCs w:val="28"/>
          <w:lang w:eastAsia="pl-PL"/>
        </w:rPr>
        <w:t xml:space="preserve">sprawie skargi oraz oświadczenia złożonego przez funkcjonariusza ustalono, że do zaniedbania doszło, gdyż winny zaistniałej sytuacji funkcjonariusz, realizując inne czynności służbowe, zapomniał doprowadzić </w:t>
      </w:r>
      <w:r w:rsidR="007344C7" w:rsidRPr="00881CB0">
        <w:rPr>
          <w:rFonts w:ascii="Garamond" w:hAnsi="Garamond" w:cs="Arial"/>
          <w:sz w:val="28"/>
          <w:szCs w:val="28"/>
          <w:lang w:eastAsia="pl-PL"/>
        </w:rPr>
        <w:t xml:space="preserve">osadzonych </w:t>
      </w:r>
      <w:r w:rsidRPr="00881CB0">
        <w:rPr>
          <w:rFonts w:ascii="Garamond" w:hAnsi="Garamond" w:cs="Arial"/>
          <w:sz w:val="28"/>
          <w:szCs w:val="28"/>
          <w:lang w:eastAsia="pl-PL"/>
        </w:rPr>
        <w:t>na zajęcia, które według planu powinny rozpocząć się             o godzinie 8</w:t>
      </w:r>
      <w:r w:rsidRPr="00881CB0">
        <w:rPr>
          <w:rFonts w:ascii="Garamond" w:hAnsi="Garamond" w:cs="Arial"/>
          <w:sz w:val="28"/>
          <w:szCs w:val="28"/>
          <w:vertAlign w:val="superscript"/>
          <w:lang w:eastAsia="pl-PL"/>
        </w:rPr>
        <w:t>20</w:t>
      </w:r>
      <w:r w:rsidRPr="00881CB0">
        <w:rPr>
          <w:rFonts w:ascii="Garamond" w:hAnsi="Garamond" w:cs="Arial"/>
          <w:sz w:val="28"/>
          <w:szCs w:val="28"/>
          <w:lang w:eastAsia="pl-PL"/>
        </w:rPr>
        <w:t xml:space="preserve"> i trwać do 10</w:t>
      </w:r>
      <w:r w:rsidRPr="00881CB0">
        <w:rPr>
          <w:rFonts w:ascii="Garamond" w:hAnsi="Garamond" w:cs="Arial"/>
          <w:sz w:val="28"/>
          <w:szCs w:val="28"/>
          <w:vertAlign w:val="superscript"/>
          <w:lang w:eastAsia="pl-PL"/>
        </w:rPr>
        <w:t>20</w:t>
      </w:r>
      <w:r w:rsidRPr="00881CB0">
        <w:rPr>
          <w:rFonts w:ascii="Garamond" w:hAnsi="Garamond" w:cs="Arial"/>
          <w:sz w:val="28"/>
          <w:szCs w:val="28"/>
          <w:lang w:eastAsia="pl-PL"/>
        </w:rPr>
        <w:t>. Około godziny 9</w:t>
      </w:r>
      <w:r w:rsidRPr="00881CB0">
        <w:rPr>
          <w:rFonts w:ascii="Garamond" w:hAnsi="Garamond" w:cs="Arial"/>
          <w:sz w:val="28"/>
          <w:szCs w:val="28"/>
          <w:vertAlign w:val="superscript"/>
          <w:lang w:eastAsia="pl-PL"/>
        </w:rPr>
        <w:t>30</w:t>
      </w:r>
      <w:r w:rsidRPr="00881CB0">
        <w:rPr>
          <w:rFonts w:ascii="Garamond" w:hAnsi="Garamond" w:cs="Arial"/>
          <w:sz w:val="28"/>
          <w:szCs w:val="28"/>
          <w:lang w:eastAsia="pl-PL"/>
        </w:rPr>
        <w:t xml:space="preserve"> przypominał sobie o konieczności </w:t>
      </w:r>
      <w:r w:rsidRPr="00881CB0">
        <w:rPr>
          <w:rFonts w:ascii="Garamond" w:hAnsi="Garamond" w:cs="Arial"/>
          <w:sz w:val="28"/>
          <w:szCs w:val="28"/>
          <w:lang w:eastAsia="pl-PL"/>
        </w:rPr>
        <w:lastRenderedPageBreak/>
        <w:t>doprowadzenia grupy na zajęcia, lecz osadzeni zrezygnowali z udziału w nich. Zdarzenie miało charakter jednorazowy. Dyrektor aresztu udzielił winnemu zaniedbań funkcjonariuszowi instruktażu. Przyczyny powstania błędu zostały omówione na odprawie penitencjarno-ochronnej. Kierownictwo działu ochrony podjęło również działania mające na celu wyeliminowanie zaniedbań w przyszłości poprzez objęcie problemu wzmożoną kontrolą.</w:t>
      </w:r>
    </w:p>
    <w:p w:rsidR="002C2F2D" w:rsidRPr="00881CB0" w:rsidRDefault="002C2F2D" w:rsidP="00881CB0">
      <w:pPr>
        <w:tabs>
          <w:tab w:val="left" w:pos="360"/>
          <w:tab w:val="left" w:pos="833"/>
        </w:tabs>
        <w:spacing w:line="360" w:lineRule="auto"/>
        <w:jc w:val="both"/>
        <w:rPr>
          <w:rFonts w:cs="Tahoma"/>
          <w:lang w:eastAsia="pl-PL"/>
        </w:rPr>
      </w:pPr>
    </w:p>
    <w:p w:rsidR="00881CB0" w:rsidRPr="00881CB0" w:rsidRDefault="00881CB0" w:rsidP="00881CB0">
      <w:pPr>
        <w:keepNext/>
        <w:tabs>
          <w:tab w:val="left" w:pos="2836"/>
        </w:tabs>
        <w:spacing w:line="360" w:lineRule="auto"/>
        <w:jc w:val="both"/>
        <w:outlineLvl w:val="2"/>
        <w:rPr>
          <w:rFonts w:ascii="Garamond" w:hAnsi="Garamond" w:cs="Arial"/>
          <w:b/>
          <w:sz w:val="28"/>
          <w:szCs w:val="28"/>
          <w:lang w:eastAsia="pl-PL"/>
        </w:rPr>
      </w:pPr>
      <w:bookmarkStart w:id="56" w:name="_Toc386125907"/>
      <w:bookmarkStart w:id="57" w:name="_Toc485388685"/>
      <w:bookmarkStart w:id="58" w:name="__RefHeading__3500_933653961"/>
      <w:r w:rsidRPr="00881CB0">
        <w:rPr>
          <w:rFonts w:ascii="Garamond" w:hAnsi="Garamond" w:cs="Arial"/>
          <w:b/>
          <w:sz w:val="28"/>
          <w:szCs w:val="28"/>
          <w:lang w:eastAsia="pl-PL"/>
        </w:rPr>
        <w:t>5.2.14. W zakresie sporządzania opinii i udostępniania dokumentów i aktów prawnych (SDP)</w:t>
      </w:r>
      <w:bookmarkEnd w:id="56"/>
      <w:bookmarkEnd w:id="57"/>
      <w:bookmarkEnd w:id="58"/>
    </w:p>
    <w:p w:rsidR="00881CB0" w:rsidRPr="00881CB0" w:rsidRDefault="00881CB0" w:rsidP="002C2F2D">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podstawą do sporządzenia skargi i uznania jej za zasadną przez dyrektora okręgowego Służby Więziennej było umieszczenie przez psychologa w opinii psychologiczno - penitencjarnej informacji o ukaraniu dyscyplinarnym skarżącego, podczas gdy kara została już zatarta oraz przyjęcie przez psychologa na rozmowę skarżącego po kilkunastu dniach od zgłoszenia takiej potrzeby przez skarżącego. Na skutek uznania skargi za zasadną dyrektor przeprowadził udokumentowaną rozmowę dyscyplinującą z osobą winną powstania zdarzenia, w której zwrócił uwagę na stwierdzone w toku postępowania skargowego nieprawidłowości oraz poinformow</w:t>
      </w:r>
      <w:r w:rsidR="002C2F2D">
        <w:rPr>
          <w:rFonts w:ascii="Garamond" w:hAnsi="Garamond" w:cs="Arial"/>
          <w:sz w:val="28"/>
          <w:szCs w:val="28"/>
          <w:lang w:eastAsia="en-US"/>
        </w:rPr>
        <w:t>a</w:t>
      </w:r>
      <w:r w:rsidRPr="00881CB0">
        <w:rPr>
          <w:rFonts w:ascii="Garamond" w:hAnsi="Garamond" w:cs="Arial"/>
          <w:sz w:val="28"/>
          <w:szCs w:val="28"/>
          <w:lang w:eastAsia="en-US"/>
        </w:rPr>
        <w:t>ł, iż kolejne takie przewinienie skutkować będzie wszczęciem postępowania dyscyplinarnego. Ponadto kierownik działu penitencjarnego na odprawie polecił funkcjonariuszom działu dokonywać rzetelnej analizy akt osobopoznawczych osadzonych oraz systemu Noe.NET celem uniknięcia wystąpienia podobnych uchybień;</w:t>
      </w:r>
    </w:p>
    <w:p w:rsidR="002C2F2D" w:rsidRDefault="00881CB0" w:rsidP="002C2F2D">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Dyrektor okręgowy Służby Więziennej uznał za zasadną skargę skazanego            w części dotyczącej niewłaściwego określenia systemu odbywania kary w opinii </w:t>
      </w:r>
      <w:r w:rsidR="007F3722">
        <w:rPr>
          <w:rFonts w:ascii="Garamond" w:hAnsi="Garamond" w:cs="Arial"/>
          <w:sz w:val="28"/>
          <w:szCs w:val="28"/>
          <w:lang w:eastAsia="en-US"/>
        </w:rPr>
        <w:t xml:space="preserve">    </w:t>
      </w:r>
      <w:r w:rsidRPr="00881CB0">
        <w:rPr>
          <w:rFonts w:ascii="Garamond" w:hAnsi="Garamond" w:cs="Arial"/>
          <w:sz w:val="28"/>
          <w:szCs w:val="28"/>
          <w:lang w:eastAsia="en-US"/>
        </w:rPr>
        <w:t>do wniosku skazanego o udzielenie warunkowego przedterminowego zwolnienia. Skazany skarżył się na nieprawidłowe sporządzenie przez administrację zakładu opinii do wniosku w sprawie udzielenia mu warunkowego przedterminow</w:t>
      </w:r>
      <w:r w:rsidR="007344C7">
        <w:rPr>
          <w:rFonts w:ascii="Garamond" w:hAnsi="Garamond" w:cs="Arial"/>
          <w:sz w:val="28"/>
          <w:szCs w:val="28"/>
          <w:lang w:eastAsia="en-US"/>
        </w:rPr>
        <w:t xml:space="preserve">ego zwolnienia, twierdząc, że z </w:t>
      </w:r>
      <w:r w:rsidRPr="00881CB0">
        <w:rPr>
          <w:rFonts w:ascii="Garamond" w:hAnsi="Garamond" w:cs="Arial"/>
          <w:sz w:val="28"/>
          <w:szCs w:val="28"/>
          <w:lang w:eastAsia="en-US"/>
        </w:rPr>
        <w:t>tego względu ww. wniosek zos</w:t>
      </w:r>
      <w:r w:rsidR="007344C7">
        <w:rPr>
          <w:rFonts w:ascii="Garamond" w:hAnsi="Garamond" w:cs="Arial"/>
          <w:sz w:val="28"/>
          <w:szCs w:val="28"/>
          <w:lang w:eastAsia="en-US"/>
        </w:rPr>
        <w:t>tał odmownie rozpatrzony przez sąd o</w:t>
      </w:r>
      <w:r w:rsidRPr="00881CB0">
        <w:rPr>
          <w:rFonts w:ascii="Garamond" w:hAnsi="Garamond" w:cs="Arial"/>
          <w:sz w:val="28"/>
          <w:szCs w:val="28"/>
          <w:lang w:eastAsia="en-US"/>
        </w:rPr>
        <w:t>kręgowy. W opinii zawarto zapis, że skarżący odbywał</w:t>
      </w:r>
      <w:r w:rsidR="00BF1AC6">
        <w:rPr>
          <w:rFonts w:ascii="Garamond" w:hAnsi="Garamond" w:cs="Arial"/>
          <w:sz w:val="28"/>
          <w:szCs w:val="28"/>
          <w:lang w:eastAsia="en-US"/>
        </w:rPr>
        <w:t xml:space="preserve">  </w:t>
      </w:r>
      <w:r w:rsidRPr="00881CB0">
        <w:rPr>
          <w:rFonts w:ascii="Garamond" w:hAnsi="Garamond" w:cs="Arial"/>
          <w:sz w:val="28"/>
          <w:szCs w:val="28"/>
          <w:lang w:eastAsia="en-US"/>
        </w:rPr>
        <w:t xml:space="preserve"> karę w systemie zwykłym, co jednak nie było zgodne ze stanem faktycznym. Stwierdzoną omyłkę w opi</w:t>
      </w:r>
      <w:r w:rsidR="007344C7">
        <w:rPr>
          <w:rFonts w:ascii="Garamond" w:hAnsi="Garamond" w:cs="Arial"/>
          <w:sz w:val="28"/>
          <w:szCs w:val="28"/>
          <w:lang w:eastAsia="en-US"/>
        </w:rPr>
        <w:t>nii sprostowano i przesłano do sądu a</w:t>
      </w:r>
      <w:r w:rsidRPr="00881CB0">
        <w:rPr>
          <w:rFonts w:ascii="Garamond" w:hAnsi="Garamond" w:cs="Arial"/>
          <w:sz w:val="28"/>
          <w:szCs w:val="28"/>
          <w:lang w:eastAsia="en-US"/>
        </w:rPr>
        <w:t xml:space="preserve">pelacyjnego.          </w:t>
      </w:r>
      <w:r w:rsidRPr="00881CB0">
        <w:rPr>
          <w:rFonts w:ascii="Garamond" w:hAnsi="Garamond" w:cs="Arial"/>
          <w:sz w:val="28"/>
          <w:szCs w:val="28"/>
          <w:lang w:eastAsia="en-US"/>
        </w:rPr>
        <w:lastRenderedPageBreak/>
        <w:t xml:space="preserve">W celu wyeliminowania ww. nieprawidłowości skargę osadzonego omówiono </w:t>
      </w:r>
      <w:r w:rsidR="00D97C0A">
        <w:rPr>
          <w:rFonts w:ascii="Garamond" w:hAnsi="Garamond" w:cs="Arial"/>
          <w:sz w:val="28"/>
          <w:szCs w:val="28"/>
          <w:lang w:eastAsia="en-US"/>
        </w:rPr>
        <w:t xml:space="preserve">       </w:t>
      </w:r>
      <w:r w:rsidRPr="00881CB0">
        <w:rPr>
          <w:rFonts w:ascii="Garamond" w:hAnsi="Garamond" w:cs="Arial"/>
          <w:sz w:val="28"/>
          <w:szCs w:val="28"/>
          <w:lang w:eastAsia="en-US"/>
        </w:rPr>
        <w:t>na odprawie ogólnopenitencjarnej dla wszystkich funkcjonariuszy i pracowników zakładu. Nie wyciągnięto konsekwencji dyscyplinarnych z uwagi na fakt,                 iż omyłkowy zapis w opinii o odbywaniu kary prz</w:t>
      </w:r>
      <w:r w:rsidR="007344C7">
        <w:rPr>
          <w:rFonts w:ascii="Garamond" w:hAnsi="Garamond" w:cs="Arial"/>
          <w:sz w:val="28"/>
          <w:szCs w:val="28"/>
          <w:lang w:eastAsia="en-US"/>
        </w:rPr>
        <w:t>ez skazanego w systemie zwykłym</w:t>
      </w:r>
      <w:r w:rsidRPr="00881CB0">
        <w:rPr>
          <w:rFonts w:ascii="Garamond" w:hAnsi="Garamond" w:cs="Arial"/>
          <w:sz w:val="28"/>
          <w:szCs w:val="28"/>
          <w:lang w:eastAsia="en-US"/>
        </w:rPr>
        <w:t xml:space="preserve"> nie był decydującym czynnikiem uzasadniającym odmowę udzielenia skarżącemu warunkow</w:t>
      </w:r>
      <w:bookmarkStart w:id="59" w:name="_Toc386125911"/>
      <w:r w:rsidRPr="00881CB0">
        <w:rPr>
          <w:rFonts w:ascii="Garamond" w:hAnsi="Garamond" w:cs="Arial"/>
          <w:sz w:val="28"/>
          <w:szCs w:val="28"/>
          <w:lang w:eastAsia="en-US"/>
        </w:rPr>
        <w:t>ego przedterminowego zwolnienia.</w:t>
      </w:r>
    </w:p>
    <w:p w:rsidR="00784A30" w:rsidRPr="00784A30" w:rsidRDefault="00784A30" w:rsidP="002C2F2D">
      <w:pPr>
        <w:spacing w:line="360" w:lineRule="auto"/>
        <w:jc w:val="both"/>
        <w:rPr>
          <w:rFonts w:ascii="Garamond" w:hAnsi="Garamond" w:cs="Arial"/>
          <w:lang w:eastAsia="en-US"/>
        </w:rPr>
      </w:pPr>
    </w:p>
    <w:p w:rsidR="00881CB0" w:rsidRPr="00881CB0" w:rsidRDefault="00881CB0" w:rsidP="00881CB0">
      <w:pPr>
        <w:keepNext/>
        <w:tabs>
          <w:tab w:val="left" w:pos="2836"/>
        </w:tabs>
        <w:spacing w:line="360" w:lineRule="auto"/>
        <w:jc w:val="both"/>
        <w:outlineLvl w:val="2"/>
        <w:rPr>
          <w:rFonts w:ascii="Garamond" w:hAnsi="Garamond" w:cs="Arial"/>
          <w:b/>
          <w:sz w:val="28"/>
          <w:szCs w:val="28"/>
          <w:lang w:eastAsia="pl-PL"/>
        </w:rPr>
      </w:pPr>
      <w:bookmarkStart w:id="60" w:name="_Toc485388686"/>
      <w:bookmarkStart w:id="61" w:name="__RefHeading__3502_933653961"/>
      <w:r w:rsidRPr="00881CB0">
        <w:rPr>
          <w:rFonts w:ascii="Garamond" w:hAnsi="Garamond" w:cs="Arial"/>
          <w:b/>
          <w:sz w:val="28"/>
          <w:szCs w:val="28"/>
          <w:lang w:eastAsia="pl-PL"/>
        </w:rPr>
        <w:t>5.2.15. W zakresie innych spraw (SIN)</w:t>
      </w:r>
      <w:bookmarkEnd w:id="59"/>
      <w:bookmarkEnd w:id="60"/>
      <w:bookmarkEnd w:id="61"/>
    </w:p>
    <w:p w:rsidR="00881CB0" w:rsidRPr="00881CB0" w:rsidRDefault="00881CB0" w:rsidP="002C2F2D">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za zasadną uznano skargę w kwestii załatwienia prośby o przesłanie skanu dokumentacji dotyczącej osadzonego jego przedstawicielowi. Uznano, że nie było wymagane uzasadnienie bądź wyjaśnienie żądań do załatwienia złożonej prośby. Zasadność skargi omówiono podczas odprawy kadry kierowniczej;</w:t>
      </w:r>
    </w:p>
    <w:p w:rsidR="00881CB0" w:rsidRPr="00881CB0" w:rsidRDefault="00881CB0" w:rsidP="002C2F2D">
      <w:pPr>
        <w:spacing w:line="360" w:lineRule="auto"/>
        <w:jc w:val="both"/>
        <w:rPr>
          <w:rFonts w:cs="Tahoma"/>
          <w:lang w:eastAsia="en-US"/>
        </w:rPr>
      </w:pPr>
      <w:r w:rsidRPr="00881CB0">
        <w:rPr>
          <w:rFonts w:ascii="Garamond" w:hAnsi="Garamond" w:cs="Arial"/>
          <w:sz w:val="28"/>
          <w:szCs w:val="28"/>
          <w:lang w:eastAsia="en-US"/>
        </w:rPr>
        <w:t xml:space="preserve">- Dyrektor zakładu karnego uznał za zasadną skargę osadzonego dotyczącą nieudzielenia pisemnej odpowiedzi na złożoną prośbę w sprawie zezwolenia na otrzymanie leków z zewnątrz. W toku podjętych czynności wyjaśniających ustalono, że osadzony nie został poinformowany pisemnie o sposobie rozpatrzenia prośby, która nie była załatwiona bezpośrednio po zgłoszeniu. Postępowanie w tym względzie było niezgodne z § 9 ust. 2 rozporządzenia Ministra Sprawiedliwości          z dnia 13.08.2003r., </w:t>
      </w:r>
      <w:r w:rsidRPr="00881CB0">
        <w:rPr>
          <w:rFonts w:ascii="Garamond" w:hAnsi="Garamond" w:cs="Arial"/>
          <w:i/>
          <w:iCs/>
          <w:sz w:val="28"/>
          <w:szCs w:val="28"/>
          <w:lang w:eastAsia="en-US"/>
        </w:rPr>
        <w:t>w sprawie sposobów załatwiania wniosków, skarg i próśb osób osadzonych w zakładach karnych i aresztach śledczych</w:t>
      </w:r>
      <w:r w:rsidRPr="00881CB0">
        <w:rPr>
          <w:rFonts w:ascii="Garamond" w:hAnsi="Garamond" w:cs="Arial"/>
          <w:sz w:val="28"/>
          <w:szCs w:val="28"/>
          <w:lang w:eastAsia="en-US"/>
        </w:rPr>
        <w:t>. Zgodnie z tym przepisem obowiązek pisemnego zawiadomienia nie dotyczy próśb i wniosków składanych osobiście         w swojej sprawie przez osobę osadzoną w zakładzie karnym lub areszcie śledczym     i załatwionych bezpośrednio po zgłoszeniu. Z osobą winną nieprawidłowości przeprowadzona została rozmowa instruktażowa;</w:t>
      </w:r>
    </w:p>
    <w:p w:rsidR="00881CB0" w:rsidRPr="00881CB0" w:rsidRDefault="00881CB0" w:rsidP="002C2F2D">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Dyrektor okręgowy Służby Więziennej uznał za zasadną skargę osadzonego         w części dotyczącej sposobu załatwienia prośby przez dyrektora zakładu.  W trakcie czynności wyjaśniających ustalono, że pismo osadzonego dotyczące przydziału środków czystości na celę mieszkalną zostało zaewidencjonowane jako prośba.         Z uwagi na znajdujące się w nim elementy skargowe należało potraktować je jako skargę, a w szczególności ustalić, czy osadzony otrzymuje należne mu środki. Zawiadomienie o sposobie załatwienia prośby nie odnosiło się do wszystkich </w:t>
      </w:r>
      <w:r w:rsidRPr="00881CB0">
        <w:rPr>
          <w:rFonts w:ascii="Garamond" w:hAnsi="Garamond" w:cs="Arial"/>
          <w:sz w:val="28"/>
          <w:szCs w:val="28"/>
          <w:lang w:eastAsia="en-US"/>
        </w:rPr>
        <w:lastRenderedPageBreak/>
        <w:t>poruszanych kwestii. Dyrektor zakładu przeprowadził rozmowę instruktażowo-szkoleniową z funkcjonariuszami ds. skarg i próśb, a osadzonemu udzielono informacji we wszystkich poruszanych kwestiach;</w:t>
      </w:r>
    </w:p>
    <w:p w:rsidR="00881CB0" w:rsidRPr="007344C7" w:rsidRDefault="00881CB0" w:rsidP="002C2F2D">
      <w:pPr>
        <w:spacing w:line="360" w:lineRule="auto"/>
        <w:jc w:val="both"/>
        <w:rPr>
          <w:rFonts w:ascii="Garamond" w:hAnsi="Garamond" w:cs="Arial"/>
          <w:i/>
          <w:sz w:val="28"/>
          <w:szCs w:val="28"/>
          <w:lang w:eastAsia="en-US"/>
        </w:rPr>
      </w:pPr>
      <w:r w:rsidRPr="00881CB0">
        <w:rPr>
          <w:rFonts w:ascii="Garamond" w:hAnsi="Garamond" w:cs="Arial"/>
          <w:sz w:val="28"/>
          <w:szCs w:val="28"/>
          <w:lang w:eastAsia="en-US"/>
        </w:rPr>
        <w:t xml:space="preserve">- skazany w swojej skardze poruszał między innymi kwestię usytuowania pojemników na odpady stałe w zakładzie karnym. W toku czynności wyjaśniających dyrektor okręgowy Służby Więziennej uznał skargę za zasadną. W związku               z zaistniałą sytuacją pojemnik na odpady został rozebrany. Firma, która odbierała        z zakładu karnego odpady segregowane, udostępniła swój kontener, który został umieszczony na głównym placu zakładu, obok pozostałych. Odległość od miejsc na pojemniki i kontenery na odpady stałe od okien i drzwi do budynków                  z pomieszczeniami przeznaczonymi na pobyt ludzi jest zgodna z zapisami zawartymi w rozporządzeniu Ministra Infrastruktury z dnia 12.04.2002 r. </w:t>
      </w:r>
      <w:r w:rsidRPr="007344C7">
        <w:rPr>
          <w:rFonts w:ascii="Garamond" w:hAnsi="Garamond" w:cs="Arial"/>
          <w:i/>
          <w:sz w:val="28"/>
          <w:szCs w:val="28"/>
          <w:lang w:eastAsia="en-US"/>
        </w:rPr>
        <w:t>w sprawie warunków technicznych, jakimi powinny odpowiadać budynki i ich usytuowanie;</w:t>
      </w:r>
    </w:p>
    <w:p w:rsidR="00881CB0" w:rsidRDefault="00881CB0" w:rsidP="002C2F2D">
      <w:pPr>
        <w:spacing w:line="360" w:lineRule="auto"/>
        <w:jc w:val="both"/>
        <w:rPr>
          <w:rFonts w:ascii="Garamond" w:hAnsi="Garamond" w:cs="Arial"/>
          <w:sz w:val="28"/>
          <w:szCs w:val="28"/>
          <w:lang w:eastAsia="en-US"/>
        </w:rPr>
      </w:pPr>
      <w:r w:rsidRPr="00881CB0">
        <w:rPr>
          <w:rFonts w:ascii="Garamond" w:hAnsi="Garamond" w:cs="Arial"/>
          <w:sz w:val="28"/>
          <w:szCs w:val="28"/>
          <w:lang w:eastAsia="en-US"/>
        </w:rPr>
        <w:t xml:space="preserve">- Dyrektor zakładu karnego rozpatrzył pozytywnie skargę osadzonego, który poskarżył się m.in. na sposób załatwienia jego pisma, w którym domagał się przesłania potwierdzeń nadania </w:t>
      </w:r>
      <w:r w:rsidR="007344C7" w:rsidRPr="00881CB0">
        <w:rPr>
          <w:rFonts w:ascii="Garamond" w:hAnsi="Garamond" w:cs="Arial"/>
          <w:sz w:val="28"/>
          <w:szCs w:val="28"/>
          <w:lang w:eastAsia="en-US"/>
        </w:rPr>
        <w:t xml:space="preserve">prywatnej </w:t>
      </w:r>
      <w:r w:rsidRPr="00881CB0">
        <w:rPr>
          <w:rFonts w:ascii="Garamond" w:hAnsi="Garamond" w:cs="Arial"/>
          <w:sz w:val="28"/>
          <w:szCs w:val="28"/>
          <w:lang w:eastAsia="en-US"/>
        </w:rPr>
        <w:t xml:space="preserve">korespondencji poleconej. W toku postępowania wyjaśniającego ustalono, że w odpowiedzi kierowanej do osadzonego zawarto błędne informacje, niedotyczące meritum jego pisma. Skarżący domagał się dostarczenia mu potwierdzeń nadania trzech listów poleconych, natomiast treść udzielonej skazanemu odpowiedzi odnosiła się do sytuacji nadania przez niego dwóch innych przesyłek poleconych. Z analizy materiału dowodowego wynikało, że notatka służbowa, w oparciu o którą sporządzono odpowiedź na pismo skazanego, została zredagowana w sposób niejasny, który mógł wprowadzić w błąd funkcjonariusza udzielającego odpowiedzi. W związku z zaistniałą sytuacją dyrektor ZK uznał zarzut za zasadny. Jednocześnie udzielono skazanemu stosownych informacji i przeproszono za zaistniałą sytuację. Opisana sprawa została omówiona na odprawie kierownictwa jednostki, podczas której przedstawiono wnioski              z postępowania skargowego zaakceptowane przez dyrektora a dotyczące zobowiązania funkcjonariuszy, aby zajmując stanowisko w sprawach skarg i próśb osadzonych używali jasnych i zrozumiałych komunikatów odnoszących się do meritum podnoszonych przez skazanych kwestii oraz zobowiązania bezpośrednich </w:t>
      </w:r>
      <w:r w:rsidRPr="00881CB0">
        <w:rPr>
          <w:rFonts w:ascii="Garamond" w:hAnsi="Garamond" w:cs="Arial"/>
          <w:sz w:val="28"/>
          <w:szCs w:val="28"/>
          <w:lang w:eastAsia="en-US"/>
        </w:rPr>
        <w:lastRenderedPageBreak/>
        <w:t>przełożonych do weryfikowania notatek służbowych podwładnych przekazywanych do dokumentacji skarg i próśb osadzonych, zwłaszcza pod kątem ich rzetelności i zrozumiałego przekazu. Funkcjonariusza załatwiającego                  w zastępstwie skargi i prośby osadzonych zobowiązano do większej wnikliwości przy rozpatrywaniu ww. spraw.</w:t>
      </w:r>
    </w:p>
    <w:p w:rsidR="00881CB0" w:rsidRPr="00881CB0" w:rsidRDefault="00881CB0" w:rsidP="002C2F2D">
      <w:pPr>
        <w:spacing w:line="360" w:lineRule="auto"/>
        <w:jc w:val="both"/>
        <w:rPr>
          <w:rFonts w:ascii="Garamond" w:hAnsi="Garamond" w:cs="Arial"/>
          <w:sz w:val="28"/>
          <w:szCs w:val="28"/>
          <w:lang w:eastAsia="en-US"/>
        </w:rPr>
      </w:pPr>
    </w:p>
    <w:p w:rsidR="00881CB0" w:rsidRPr="00881CB0" w:rsidRDefault="00881CB0" w:rsidP="00881CB0">
      <w:pPr>
        <w:keepNext/>
        <w:numPr>
          <w:ilvl w:val="0"/>
          <w:numId w:val="3"/>
        </w:numPr>
        <w:tabs>
          <w:tab w:val="left" w:pos="2836"/>
        </w:tabs>
        <w:jc w:val="both"/>
        <w:outlineLvl w:val="0"/>
        <w:rPr>
          <w:rFonts w:ascii="Garamond" w:hAnsi="Garamond" w:cs="Arial"/>
          <w:b/>
          <w:sz w:val="28"/>
          <w:szCs w:val="28"/>
          <w:lang w:eastAsia="pl-PL"/>
        </w:rPr>
      </w:pPr>
      <w:bookmarkStart w:id="62" w:name="__RefHeading__3504_933653961"/>
      <w:bookmarkStart w:id="63" w:name="_Toc485388687"/>
      <w:r w:rsidRPr="00881CB0">
        <w:rPr>
          <w:rFonts w:ascii="Garamond" w:hAnsi="Garamond" w:cs="Arial"/>
          <w:b/>
          <w:sz w:val="28"/>
          <w:szCs w:val="28"/>
          <w:lang w:eastAsia="pl-PL"/>
        </w:rPr>
        <w:t>Terminowość załatwiania skarg i wniosków</w:t>
      </w:r>
      <w:bookmarkEnd w:id="62"/>
      <w:bookmarkEnd w:id="63"/>
    </w:p>
    <w:p w:rsidR="00881CB0" w:rsidRPr="00D97C0A" w:rsidRDefault="00881CB0" w:rsidP="002C2F2D">
      <w:pPr>
        <w:spacing w:after="120" w:line="276" w:lineRule="auto"/>
        <w:rPr>
          <w:rFonts w:cs="Tahoma"/>
          <w:sz w:val="16"/>
          <w:szCs w:val="16"/>
          <w:lang w:eastAsia="pl-PL"/>
        </w:rPr>
      </w:pPr>
    </w:p>
    <w:p w:rsidR="00881CB0" w:rsidRPr="00881CB0" w:rsidRDefault="00881CB0" w:rsidP="00881CB0">
      <w:pPr>
        <w:spacing w:line="360" w:lineRule="auto"/>
        <w:ind w:firstLine="454"/>
        <w:jc w:val="both"/>
        <w:rPr>
          <w:rFonts w:cs="Tahoma"/>
          <w:lang w:eastAsia="en-US"/>
        </w:rPr>
      </w:pPr>
      <w:r w:rsidRPr="00881CB0">
        <w:rPr>
          <w:rFonts w:ascii="Garamond" w:eastAsia="BatangChe" w:hAnsi="Garamond" w:cs="Arial"/>
          <w:sz w:val="28"/>
          <w:szCs w:val="28"/>
          <w:lang w:eastAsia="en-US"/>
        </w:rPr>
        <w:t xml:space="preserve">Zgodnie z procedurą wynikającą z rozporządzenia Ministra Sprawiedliwości        z dnia 13.08.2003 r. </w:t>
      </w:r>
      <w:r w:rsidRPr="00881CB0">
        <w:rPr>
          <w:rFonts w:ascii="Garamond" w:eastAsia="BatangChe" w:hAnsi="Garamond" w:cs="Arial"/>
          <w:i/>
          <w:iCs/>
          <w:sz w:val="28"/>
          <w:szCs w:val="28"/>
          <w:lang w:eastAsia="en-US"/>
        </w:rPr>
        <w:t>w sprawie sposobów załatwiania wniosków, skarg i próśb</w:t>
      </w:r>
      <w:r w:rsidRPr="00881CB0">
        <w:rPr>
          <w:rFonts w:ascii="Garamond" w:eastAsia="BatangChe" w:hAnsi="Garamond" w:cs="Arial"/>
          <w:sz w:val="28"/>
          <w:szCs w:val="28"/>
          <w:lang w:eastAsia="en-US"/>
        </w:rPr>
        <w:t xml:space="preserve"> </w:t>
      </w:r>
      <w:r w:rsidRPr="00881CB0">
        <w:rPr>
          <w:rFonts w:ascii="Garamond" w:eastAsia="BatangChe" w:hAnsi="Garamond" w:cs="Arial"/>
          <w:i/>
          <w:iCs/>
          <w:sz w:val="28"/>
          <w:szCs w:val="28"/>
          <w:lang w:eastAsia="en-US"/>
        </w:rPr>
        <w:t xml:space="preserve">osób </w:t>
      </w:r>
      <w:r w:rsidR="00BC773D">
        <w:rPr>
          <w:rFonts w:ascii="Garamond" w:eastAsia="BatangChe" w:hAnsi="Garamond" w:cs="Arial"/>
          <w:i/>
          <w:iCs/>
          <w:sz w:val="28"/>
          <w:szCs w:val="28"/>
          <w:lang w:eastAsia="en-US"/>
        </w:rPr>
        <w:t xml:space="preserve"> </w:t>
      </w:r>
      <w:r w:rsidRPr="00881CB0">
        <w:rPr>
          <w:rFonts w:ascii="Garamond" w:eastAsia="BatangChe" w:hAnsi="Garamond" w:cs="Arial"/>
          <w:i/>
          <w:iCs/>
          <w:sz w:val="28"/>
          <w:szCs w:val="28"/>
          <w:lang w:eastAsia="en-US"/>
        </w:rPr>
        <w:t>osadzonych w zakładach karnych i aresztach śledczych</w:t>
      </w:r>
      <w:r w:rsidRPr="00881CB0">
        <w:rPr>
          <w:rFonts w:ascii="Garamond" w:eastAsia="BatangChe" w:hAnsi="Garamond" w:cs="Arial"/>
          <w:sz w:val="28"/>
          <w:szCs w:val="28"/>
          <w:lang w:eastAsia="en-US"/>
        </w:rPr>
        <w:t xml:space="preserve"> każdą sprawę po</w:t>
      </w:r>
      <w:r w:rsidR="00BC773D">
        <w:rPr>
          <w:rFonts w:ascii="Garamond" w:eastAsia="BatangChe" w:hAnsi="Garamond" w:cs="Arial"/>
          <w:sz w:val="28"/>
          <w:szCs w:val="28"/>
          <w:lang w:eastAsia="en-US"/>
        </w:rPr>
        <w:t xml:space="preserve"> jej wpłynięciu rejestrowano </w:t>
      </w:r>
      <w:r w:rsidRPr="00881CB0">
        <w:rPr>
          <w:rFonts w:ascii="Garamond" w:eastAsia="BatangChe" w:hAnsi="Garamond" w:cs="Arial"/>
          <w:sz w:val="28"/>
          <w:szCs w:val="28"/>
          <w:lang w:eastAsia="en-US"/>
        </w:rPr>
        <w:t>i po przeprowadzeniu adekwatnych do charakteru i zakresu sprawy czynności lub postępowań wyjaśniających oraz dokonanych ustaleń, zainteresowanych pisemnie zawiadamiano o sposobie jej załatwienia, uzasadniając zajęte stanowisko.</w:t>
      </w:r>
    </w:p>
    <w:p w:rsidR="00881CB0" w:rsidRPr="00881CB0" w:rsidRDefault="00881CB0" w:rsidP="002C2F2D">
      <w:pPr>
        <w:spacing w:line="360" w:lineRule="auto"/>
        <w:ind w:firstLine="708"/>
        <w:jc w:val="both"/>
        <w:rPr>
          <w:rFonts w:ascii="Garamond" w:eastAsia="BatangChe" w:hAnsi="Garamond" w:cs="Arial"/>
          <w:sz w:val="28"/>
          <w:szCs w:val="28"/>
          <w:lang w:eastAsia="en-US"/>
        </w:rPr>
      </w:pPr>
      <w:r w:rsidRPr="00881CB0">
        <w:rPr>
          <w:rFonts w:ascii="Garamond" w:eastAsia="BatangChe" w:hAnsi="Garamond" w:cs="Arial"/>
          <w:sz w:val="28"/>
          <w:szCs w:val="28"/>
          <w:lang w:eastAsia="en-US"/>
        </w:rPr>
        <w:t xml:space="preserve">Indywidualny charakter każdej sprawy, często wielowątkowej powodował,      iż nie zawsze było możliwe uniknięcie konieczności dokonywania prolongaty terminów zakończenia postępowań lub składania wyjaśnień – w szczególności na szczeblu okręgowych inspektoratów i Centralnego Zarządu Służby Więziennej. Wynikało to głównie z wystąpienia obiektywnych przesłanek, utrudniających zgromadzenie pełnego materiału, stanowiącego podstawę dokonywanych ustaleń. Podczas prowadzonych postępowań wyjaśniających występowały m. in. przypadki usprawiedliwionej, czasowej absencji w służbie funkcjonariuszy i pracowników, których wyjaśnienia lub opinie były kluczowe oraz rozstrzygające w danej sprawie,      a zarzuty skarżących dotyczyły działalności i zachowania tych osób. Wielokrotnie miały miejsce przypadki zaistnienia potrzeby uzyskania dokumentacji dowodowej lub innych materiałów koniecznych do pełnego wyjaśnienia zarzutów, które były            w dyspozycji innych jednostek organizacyjnych Służby Więziennej, sądów, prokuratur i innych. Przyczyną tego typu sytuacji było przede wszystkim postępowanie samych skarżących, którzy często w takich samych sprawach                i z identycznymi problemami, korzystając z należnych uprawnień, jednocześnie zwracali się do różnych organów, w tym wymiaru sprawiedliwości oraz innych </w:t>
      </w:r>
      <w:r w:rsidRPr="00881CB0">
        <w:rPr>
          <w:rFonts w:ascii="Garamond" w:eastAsia="BatangChe" w:hAnsi="Garamond" w:cs="Arial"/>
          <w:sz w:val="28"/>
          <w:szCs w:val="28"/>
          <w:lang w:eastAsia="en-US"/>
        </w:rPr>
        <w:lastRenderedPageBreak/>
        <w:t xml:space="preserve">instytucji. Były też przypadki, kiedy w czasie wyznaczonym na załatwienie sprawy toczyły się w różnych organach inne postępowania, które opierały się na dokumentacji dowodowej niezbędnej w sprawie. Wydłużenie biegu postępowań następowało również w konsekwencji stwierdzenia konieczności uzupełniania pierwotnie przekazywanych przez inne jednostki Służby Więziennej postępowań </w:t>
      </w:r>
      <w:r w:rsidR="002C2F2D">
        <w:rPr>
          <w:rFonts w:ascii="Garamond" w:eastAsia="BatangChe" w:hAnsi="Garamond" w:cs="Arial"/>
          <w:sz w:val="28"/>
          <w:szCs w:val="28"/>
          <w:lang w:eastAsia="en-US"/>
        </w:rPr>
        <w:t xml:space="preserve">           </w:t>
      </w:r>
      <w:r w:rsidRPr="00881CB0">
        <w:rPr>
          <w:rFonts w:ascii="Garamond" w:eastAsia="BatangChe" w:hAnsi="Garamond" w:cs="Arial"/>
          <w:sz w:val="28"/>
          <w:szCs w:val="28"/>
          <w:lang w:eastAsia="en-US"/>
        </w:rPr>
        <w:t>w sprawach skarg. Występujących ze skargami informowano o istnieniu okoliczności mając</w:t>
      </w:r>
      <w:r w:rsidR="00D23330">
        <w:rPr>
          <w:rFonts w:ascii="Garamond" w:eastAsia="BatangChe" w:hAnsi="Garamond" w:cs="Arial"/>
          <w:sz w:val="28"/>
          <w:szCs w:val="28"/>
          <w:lang w:eastAsia="en-US"/>
        </w:rPr>
        <w:t>ych</w:t>
      </w:r>
      <w:r w:rsidRPr="00881CB0">
        <w:rPr>
          <w:rFonts w:ascii="Garamond" w:eastAsia="BatangChe" w:hAnsi="Garamond" w:cs="Arial"/>
          <w:sz w:val="28"/>
          <w:szCs w:val="28"/>
          <w:lang w:eastAsia="en-US"/>
        </w:rPr>
        <w:t xml:space="preserve"> wpływ na faktyczny termin zawiadomienia o sposobie załatwienia zgłoszonych spraw.</w:t>
      </w:r>
    </w:p>
    <w:p w:rsidR="00881CB0" w:rsidRPr="00881CB0" w:rsidRDefault="00881CB0" w:rsidP="00881CB0">
      <w:pPr>
        <w:spacing w:line="360" w:lineRule="auto"/>
        <w:ind w:firstLine="708"/>
        <w:jc w:val="both"/>
        <w:rPr>
          <w:rFonts w:cs="Tahoma"/>
          <w:lang w:eastAsia="en-US"/>
        </w:rPr>
      </w:pPr>
      <w:r w:rsidRPr="00881CB0">
        <w:rPr>
          <w:rFonts w:ascii="Garamond" w:hAnsi="Garamond" w:cs="Arial"/>
          <w:sz w:val="28"/>
          <w:szCs w:val="28"/>
          <w:lang w:eastAsia="en-US"/>
        </w:rPr>
        <w:t>W analizowanym okresie jednostki organizacyjne więziennictwa załatwiały skargi w terminach określonych obowiązującymi przepisami. Zainteresowani byli</w:t>
      </w:r>
      <w:r w:rsidRPr="00881CB0">
        <w:rPr>
          <w:rFonts w:ascii="Arial" w:hAnsi="Arial" w:cs="Arial"/>
          <w:lang w:eastAsia="en-US"/>
        </w:rPr>
        <w:t xml:space="preserve"> i</w:t>
      </w:r>
      <w:r w:rsidRPr="00881CB0">
        <w:rPr>
          <w:rFonts w:ascii="Garamond" w:hAnsi="Garamond" w:cs="Arial"/>
          <w:sz w:val="28"/>
          <w:szCs w:val="28"/>
          <w:lang w:eastAsia="en-US"/>
        </w:rPr>
        <w:t>nformowani o okolicznościach, które miały wpływ na przedłużenie prowadzonego</w:t>
      </w:r>
      <w:r w:rsidRPr="00881CB0">
        <w:rPr>
          <w:rFonts w:ascii="Arial" w:hAnsi="Arial" w:cs="Arial"/>
          <w:lang w:eastAsia="en-US"/>
        </w:rPr>
        <w:t xml:space="preserve"> </w:t>
      </w:r>
      <w:r w:rsidRPr="00881CB0">
        <w:rPr>
          <w:rFonts w:ascii="Garamond" w:hAnsi="Garamond" w:cs="Arial"/>
          <w:sz w:val="28"/>
          <w:szCs w:val="28"/>
          <w:lang w:eastAsia="en-US"/>
        </w:rPr>
        <w:t>postępowania oraz o przewidywanym terminie jego zakończenia. Spośród 187.524 wszystkich rozpatrzonych i załatwionych w 2016 r. sk</w:t>
      </w:r>
      <w:r w:rsidR="00BC773D">
        <w:rPr>
          <w:rFonts w:ascii="Garamond" w:hAnsi="Garamond" w:cs="Arial"/>
          <w:sz w:val="28"/>
          <w:szCs w:val="28"/>
          <w:lang w:eastAsia="en-US"/>
        </w:rPr>
        <w:t xml:space="preserve">arg, próśb i wniosków jedynie w </w:t>
      </w:r>
      <w:r w:rsidRPr="00881CB0">
        <w:rPr>
          <w:rFonts w:ascii="Garamond" w:hAnsi="Garamond" w:cs="Arial"/>
          <w:sz w:val="28"/>
          <w:szCs w:val="28"/>
          <w:lang w:eastAsia="en-US"/>
        </w:rPr>
        <w:t>30 przypadkach skarg, w sposób nieuzasadniony, nie dotrzymano terminu udzi</w:t>
      </w:r>
      <w:r w:rsidR="00BC773D">
        <w:rPr>
          <w:rFonts w:ascii="Garamond" w:hAnsi="Garamond" w:cs="Arial"/>
          <w:sz w:val="28"/>
          <w:szCs w:val="28"/>
          <w:lang w:eastAsia="en-US"/>
        </w:rPr>
        <w:t>elenia odpowiedzi (w 2015 r. w</w:t>
      </w:r>
      <w:r w:rsidRPr="00881CB0">
        <w:rPr>
          <w:rFonts w:ascii="Garamond" w:hAnsi="Garamond" w:cs="Arial"/>
          <w:sz w:val="28"/>
          <w:szCs w:val="28"/>
          <w:lang w:eastAsia="en-US"/>
        </w:rPr>
        <w:t xml:space="preserve"> 63 przypadkach, w 2014 r. w 11 </w:t>
      </w:r>
      <w:r w:rsidR="00D23330">
        <w:rPr>
          <w:rFonts w:ascii="Garamond" w:hAnsi="Garamond" w:cs="Arial"/>
          <w:sz w:val="28"/>
          <w:szCs w:val="28"/>
          <w:lang w:eastAsia="en-US"/>
        </w:rPr>
        <w:t xml:space="preserve">przypadkach, a w 2013 r. w 86). </w:t>
      </w:r>
      <w:r w:rsidRPr="00881CB0">
        <w:rPr>
          <w:rFonts w:ascii="Garamond" w:hAnsi="Garamond" w:cs="Arial"/>
          <w:sz w:val="28"/>
          <w:szCs w:val="28"/>
          <w:lang w:eastAsia="en-US"/>
        </w:rPr>
        <w:t>Najczęstszą przyczyną przeterminowań były błędy organizacyjne w obiegu korespondencji, zaniedbania ze strony osób zajmujących się załatwianiem tych spraw oraz brak nadzoru osób merytorycznie odpowiedzialnych za obwiniany w skargach pion służby nad terminowością składania wyjaśnień.</w:t>
      </w:r>
    </w:p>
    <w:p w:rsidR="00881CB0" w:rsidRPr="00881CB0" w:rsidRDefault="00881CB0" w:rsidP="00881CB0">
      <w:pPr>
        <w:spacing w:line="360" w:lineRule="auto"/>
        <w:ind w:firstLine="708"/>
        <w:jc w:val="both"/>
        <w:rPr>
          <w:rFonts w:ascii="Garamond" w:hAnsi="Garamond" w:cs="Arial"/>
          <w:sz w:val="28"/>
          <w:szCs w:val="28"/>
          <w:lang w:eastAsia="en-US"/>
        </w:rPr>
      </w:pPr>
    </w:p>
    <w:p w:rsidR="00881CB0" w:rsidRPr="00EB0B12" w:rsidRDefault="00881CB0" w:rsidP="00EB0B12">
      <w:pPr>
        <w:pStyle w:val="Akapitzlist"/>
        <w:keepNext/>
        <w:numPr>
          <w:ilvl w:val="0"/>
          <w:numId w:val="3"/>
        </w:numPr>
        <w:tabs>
          <w:tab w:val="left" w:pos="2836"/>
        </w:tabs>
        <w:outlineLvl w:val="0"/>
        <w:rPr>
          <w:rFonts w:ascii="Garamond" w:hAnsi="Garamond" w:cs="Arial"/>
          <w:b/>
          <w:sz w:val="28"/>
          <w:szCs w:val="28"/>
          <w:lang w:eastAsia="pl-PL"/>
        </w:rPr>
      </w:pPr>
      <w:bookmarkStart w:id="64" w:name="_Toc386125917"/>
      <w:bookmarkStart w:id="65" w:name="_Toc485388688"/>
      <w:r w:rsidRPr="00EB0B12">
        <w:rPr>
          <w:rFonts w:ascii="Garamond" w:hAnsi="Garamond" w:cs="Arial"/>
          <w:b/>
          <w:sz w:val="28"/>
          <w:szCs w:val="28"/>
          <w:lang w:eastAsia="pl-PL"/>
        </w:rPr>
        <w:t>Zastosowanie środków dyscyplinujących wobec osób winnych zaniedbań, ujawnionych w wyniku uznania skargi za zasadną</w:t>
      </w:r>
      <w:bookmarkEnd w:id="64"/>
      <w:bookmarkEnd w:id="65"/>
    </w:p>
    <w:p w:rsidR="00881CB0" w:rsidRPr="00881CB0" w:rsidRDefault="00881CB0" w:rsidP="002C2F2D">
      <w:pPr>
        <w:spacing w:after="120" w:line="276" w:lineRule="auto"/>
        <w:rPr>
          <w:rFonts w:cs="Tahoma"/>
          <w:lang w:eastAsia="pl-PL"/>
        </w:rPr>
      </w:pPr>
    </w:p>
    <w:p w:rsidR="002C2F2D" w:rsidRPr="00881CB0" w:rsidRDefault="00881CB0" w:rsidP="00BC773D">
      <w:pPr>
        <w:spacing w:line="360" w:lineRule="auto"/>
        <w:ind w:firstLine="709"/>
        <w:jc w:val="both"/>
        <w:rPr>
          <w:rFonts w:ascii="Garamond" w:hAnsi="Garamond" w:cs="Arial"/>
          <w:sz w:val="28"/>
          <w:szCs w:val="28"/>
          <w:lang w:eastAsia="en-US"/>
        </w:rPr>
      </w:pPr>
      <w:r w:rsidRPr="00881CB0">
        <w:rPr>
          <w:rFonts w:ascii="Garamond" w:hAnsi="Garamond" w:cs="Arial"/>
          <w:sz w:val="28"/>
          <w:szCs w:val="28"/>
          <w:lang w:eastAsia="en-US"/>
        </w:rPr>
        <w:t>Kierownicy obwinianych w skargach jednostek Służby Więziennej, w wyniku uznania podnoszonego przez skarżącego zarzutu za zasadny, mają obowiązek - poza likwidacją przy</w:t>
      </w:r>
      <w:r w:rsidR="00D23330">
        <w:rPr>
          <w:rFonts w:ascii="Garamond" w:hAnsi="Garamond" w:cs="Arial"/>
          <w:sz w:val="28"/>
          <w:szCs w:val="28"/>
          <w:lang w:eastAsia="en-US"/>
        </w:rPr>
        <w:t>czyn i źródeł skarg – określenia</w:t>
      </w:r>
      <w:r w:rsidRPr="00881CB0">
        <w:rPr>
          <w:rFonts w:ascii="Garamond" w:hAnsi="Garamond" w:cs="Arial"/>
          <w:sz w:val="28"/>
          <w:szCs w:val="28"/>
          <w:lang w:eastAsia="en-US"/>
        </w:rPr>
        <w:t xml:space="preserve"> stopnia zawinienia poszczególnych funkcjonariuszy i prac</w:t>
      </w:r>
      <w:r w:rsidR="00D23330">
        <w:rPr>
          <w:rFonts w:ascii="Garamond" w:hAnsi="Garamond" w:cs="Arial"/>
          <w:sz w:val="28"/>
          <w:szCs w:val="28"/>
          <w:lang w:eastAsia="en-US"/>
        </w:rPr>
        <w:t>owników, ustalenia</w:t>
      </w:r>
      <w:r w:rsidRPr="00881CB0">
        <w:rPr>
          <w:rFonts w:ascii="Garamond" w:hAnsi="Garamond" w:cs="Arial"/>
          <w:sz w:val="28"/>
          <w:szCs w:val="28"/>
          <w:lang w:eastAsia="en-US"/>
        </w:rPr>
        <w:t xml:space="preserve"> przyczyn nieprawidłowego postępowania kadry więziennej, a także podjęcia niezbędnych          i skutecznych działań profilaktycznych, a w razie potrzeby dyscyplinujących </w:t>
      </w:r>
      <w:r w:rsidR="00BF1AC6">
        <w:rPr>
          <w:rFonts w:ascii="Garamond" w:hAnsi="Garamond" w:cs="Arial"/>
          <w:sz w:val="28"/>
          <w:szCs w:val="28"/>
          <w:lang w:eastAsia="en-US"/>
        </w:rPr>
        <w:t xml:space="preserve">            </w:t>
      </w:r>
      <w:r w:rsidRPr="00881CB0">
        <w:rPr>
          <w:rFonts w:ascii="Garamond" w:hAnsi="Garamond" w:cs="Arial"/>
          <w:sz w:val="28"/>
          <w:szCs w:val="28"/>
          <w:lang w:eastAsia="en-US"/>
        </w:rPr>
        <w:t>w celu niedopuszczenia do powstania podobnych nieprawidłowości w przyszłości.</w:t>
      </w:r>
    </w:p>
    <w:p w:rsidR="00881CB0" w:rsidRDefault="00881CB0" w:rsidP="00881CB0">
      <w:pPr>
        <w:spacing w:line="360" w:lineRule="auto"/>
        <w:ind w:firstLine="709"/>
        <w:jc w:val="both"/>
        <w:rPr>
          <w:rFonts w:ascii="Garamond" w:hAnsi="Garamond" w:cs="Arial"/>
          <w:sz w:val="28"/>
          <w:szCs w:val="28"/>
          <w:lang w:eastAsia="en-US"/>
        </w:rPr>
      </w:pPr>
      <w:r w:rsidRPr="00881CB0">
        <w:rPr>
          <w:rFonts w:ascii="Garamond" w:hAnsi="Garamond" w:cs="Arial"/>
          <w:sz w:val="28"/>
          <w:szCs w:val="28"/>
          <w:lang w:eastAsia="en-US"/>
        </w:rPr>
        <w:t xml:space="preserve">Z zebranych od dyrektorów okręgowych Służby Więziennej informacji </w:t>
      </w:r>
      <w:r w:rsidRPr="00881CB0">
        <w:rPr>
          <w:rFonts w:ascii="Garamond" w:hAnsi="Garamond" w:cs="Arial"/>
          <w:sz w:val="28"/>
          <w:szCs w:val="28"/>
          <w:lang w:eastAsia="en-US"/>
        </w:rPr>
        <w:lastRenderedPageBreak/>
        <w:t>wynika, że w 2016 r. – w związku z pozytywnym załatwieniem skarg w sprawach osób pozbawionych wolności 186 razy – wobec funkcjonariuszy i pracowników więziennictwa zastosowano różnego rodzaju środki dyscyplinujące (w 2015 r. – 131 razy). Ilustruje to tabela nr 3.</w:t>
      </w:r>
    </w:p>
    <w:p w:rsidR="00E456C1" w:rsidRPr="00784A30" w:rsidRDefault="00E456C1" w:rsidP="00784A30">
      <w:pPr>
        <w:spacing w:line="360" w:lineRule="auto"/>
        <w:jc w:val="both"/>
        <w:rPr>
          <w:rFonts w:ascii="Garamond" w:hAnsi="Garamond" w:cs="Arial"/>
          <w:sz w:val="16"/>
          <w:szCs w:val="16"/>
          <w:lang w:eastAsia="en-US"/>
        </w:rPr>
      </w:pPr>
    </w:p>
    <w:p w:rsidR="00881CB0" w:rsidRDefault="00881CB0" w:rsidP="00784A30">
      <w:pPr>
        <w:keepNext/>
        <w:tabs>
          <w:tab w:val="left" w:pos="2836"/>
        </w:tabs>
        <w:jc w:val="both"/>
        <w:outlineLvl w:val="7"/>
        <w:rPr>
          <w:rFonts w:ascii="Garamond" w:hAnsi="Garamond" w:cs="Arial"/>
          <w:sz w:val="22"/>
          <w:szCs w:val="22"/>
          <w:lang w:eastAsia="ar-SA"/>
        </w:rPr>
      </w:pPr>
      <w:bookmarkStart w:id="66" w:name="_Toc485388692"/>
      <w:r w:rsidRPr="00881CB0">
        <w:rPr>
          <w:rFonts w:ascii="Garamond" w:hAnsi="Garamond" w:cs="Arial"/>
          <w:b/>
          <w:sz w:val="22"/>
          <w:lang w:eastAsia="ar-SA"/>
        </w:rPr>
        <w:t>Tabela 3:</w:t>
      </w:r>
      <w:r w:rsidRPr="00881CB0">
        <w:rPr>
          <w:rFonts w:ascii="Garamond" w:hAnsi="Garamond" w:cs="Arial"/>
          <w:sz w:val="22"/>
          <w:lang w:eastAsia="ar-SA"/>
        </w:rPr>
        <w:t xml:space="preserve"> </w:t>
      </w:r>
      <w:r w:rsidRPr="00881CB0">
        <w:rPr>
          <w:rFonts w:ascii="Garamond" w:hAnsi="Garamond" w:cs="Arial"/>
          <w:sz w:val="22"/>
          <w:szCs w:val="22"/>
          <w:lang w:eastAsia="ar-SA"/>
        </w:rPr>
        <w:t>Zestawienie ilościowe rodzaju środków dyscyplinujących zastosowanych wobec funkcjonariuszy i pracowników Służby Więziennej w związku z zasadnością skarg w sprawach osób pozbawionych wolności w okresie od 1 stycznia do 31 grudnia 2016 r.</w:t>
      </w:r>
      <w:bookmarkEnd w:id="66"/>
    </w:p>
    <w:p w:rsidR="002640F6" w:rsidRPr="00784A30" w:rsidRDefault="002640F6" w:rsidP="00784A30">
      <w:pPr>
        <w:keepNext/>
        <w:tabs>
          <w:tab w:val="left" w:pos="2836"/>
        </w:tabs>
        <w:jc w:val="both"/>
        <w:outlineLvl w:val="7"/>
        <w:rPr>
          <w:rFonts w:cs="Tahoma"/>
          <w:b/>
          <w:lang w:eastAsia="pl-PL"/>
        </w:rPr>
      </w:pPr>
    </w:p>
    <w:p w:rsidR="00881CB0" w:rsidRPr="00881CB0" w:rsidRDefault="00881CB0" w:rsidP="00881CB0">
      <w:pPr>
        <w:keepNext/>
        <w:tabs>
          <w:tab w:val="left" w:pos="2836"/>
        </w:tabs>
        <w:ind w:left="1418"/>
        <w:jc w:val="both"/>
        <w:outlineLvl w:val="7"/>
        <w:rPr>
          <w:rFonts w:cs="Tahoma"/>
          <w:b/>
          <w:lang w:eastAsia="ar-SA"/>
        </w:rPr>
      </w:pPr>
    </w:p>
    <w:p w:rsidR="00881CB0" w:rsidRPr="00881CB0" w:rsidRDefault="00881CB0" w:rsidP="00881CB0">
      <w:pPr>
        <w:spacing w:after="200" w:line="276" w:lineRule="auto"/>
        <w:rPr>
          <w:rFonts w:cs="Tahoma"/>
          <w:lang w:eastAsia="en-US"/>
        </w:rPr>
      </w:pPr>
      <w:r w:rsidRPr="00881CB0">
        <w:rPr>
          <w:rFonts w:cs="Tahoma"/>
          <w:noProof/>
          <w:lang w:eastAsia="pl-PL" w:bidi="ar-SA"/>
        </w:rPr>
        <w:drawing>
          <wp:inline distT="0" distB="0" distL="0" distR="0" wp14:anchorId="65EE5628" wp14:editId="036C2E6D">
            <wp:extent cx="5676842" cy="3400562"/>
            <wp:effectExtent l="0" t="0" r="58" b="9388"/>
            <wp:docPr id="9" name="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lum/>
                      <a:alphaModFix/>
                    </a:blip>
                    <a:srcRect/>
                    <a:stretch>
                      <a:fillRect/>
                    </a:stretch>
                  </pic:blipFill>
                  <pic:spPr>
                    <a:xfrm>
                      <a:off x="0" y="0"/>
                      <a:ext cx="5676842" cy="3400562"/>
                    </a:xfrm>
                    <a:prstGeom prst="rect">
                      <a:avLst/>
                    </a:prstGeom>
                    <a:noFill/>
                    <a:ln>
                      <a:noFill/>
                      <a:prstDash/>
                    </a:ln>
                  </pic:spPr>
                </pic:pic>
              </a:graphicData>
            </a:graphic>
          </wp:inline>
        </w:drawing>
      </w:r>
    </w:p>
    <w:p w:rsidR="00881CB0" w:rsidRPr="00881CB0" w:rsidRDefault="00881CB0" w:rsidP="002C2F2D">
      <w:pPr>
        <w:spacing w:after="120" w:line="360" w:lineRule="auto"/>
        <w:ind w:firstLine="708"/>
        <w:jc w:val="both"/>
        <w:rPr>
          <w:rFonts w:ascii="Garamond" w:eastAsia="Times New Roman" w:hAnsi="Garamond" w:cs="Arial"/>
          <w:sz w:val="28"/>
          <w:szCs w:val="28"/>
          <w:lang w:eastAsia="ar-SA"/>
        </w:rPr>
      </w:pPr>
      <w:r w:rsidRPr="00881CB0">
        <w:rPr>
          <w:rFonts w:ascii="Garamond" w:eastAsia="Times New Roman" w:hAnsi="Garamond" w:cs="Arial"/>
          <w:sz w:val="28"/>
          <w:szCs w:val="28"/>
          <w:lang w:eastAsia="ar-SA"/>
        </w:rPr>
        <w:t>W analizowanym okresie w 41 przypadkach przeprowadzono udokumentowane rozmowy dyscyplinujące z osobami, które przyczyniły się do powstania skarg zasadnych, 6 razy wymierzono karę nagany, w 3 przypa</w:t>
      </w:r>
      <w:r w:rsidR="002C2F2D">
        <w:rPr>
          <w:rFonts w:ascii="Garamond" w:eastAsia="Times New Roman" w:hAnsi="Garamond" w:cs="Arial"/>
          <w:sz w:val="28"/>
          <w:szCs w:val="28"/>
          <w:lang w:eastAsia="ar-SA"/>
        </w:rPr>
        <w:t xml:space="preserve">dkach ostrzeżono </w:t>
      </w:r>
      <w:r w:rsidRPr="00881CB0">
        <w:rPr>
          <w:rFonts w:ascii="Garamond" w:eastAsia="Times New Roman" w:hAnsi="Garamond" w:cs="Arial"/>
          <w:sz w:val="28"/>
          <w:szCs w:val="28"/>
          <w:lang w:eastAsia="ar-SA"/>
        </w:rPr>
        <w:t>o niepełnej przydatności za zajmowanym stanowisku służbowym</w:t>
      </w:r>
      <w:r w:rsidR="00D23330">
        <w:rPr>
          <w:rFonts w:ascii="Garamond" w:eastAsia="Times New Roman" w:hAnsi="Garamond" w:cs="Arial"/>
          <w:sz w:val="28"/>
          <w:szCs w:val="28"/>
          <w:lang w:eastAsia="ar-SA"/>
        </w:rPr>
        <w:t xml:space="preserve">           </w:t>
      </w:r>
      <w:r w:rsidR="00EB0B12">
        <w:rPr>
          <w:rFonts w:ascii="Garamond" w:eastAsia="Times New Roman" w:hAnsi="Garamond" w:cs="Arial"/>
          <w:sz w:val="28"/>
          <w:szCs w:val="28"/>
          <w:lang w:eastAsia="ar-SA"/>
        </w:rPr>
        <w:t xml:space="preserve">i w </w:t>
      </w:r>
      <w:r w:rsidRPr="00881CB0">
        <w:rPr>
          <w:rFonts w:ascii="Garamond" w:eastAsia="Times New Roman" w:hAnsi="Garamond" w:cs="Arial"/>
          <w:sz w:val="28"/>
          <w:szCs w:val="28"/>
          <w:lang w:eastAsia="ar-SA"/>
        </w:rPr>
        <w:t xml:space="preserve">1 przypadku o niepełnej przydatności do służby w Służbie Więziennej. 135 </w:t>
      </w:r>
      <w:r w:rsidR="00EB0B12">
        <w:rPr>
          <w:rFonts w:ascii="Garamond" w:eastAsia="Times New Roman" w:hAnsi="Garamond" w:cs="Arial"/>
          <w:sz w:val="28"/>
          <w:szCs w:val="28"/>
          <w:lang w:eastAsia="ar-SA"/>
        </w:rPr>
        <w:t xml:space="preserve"> </w:t>
      </w:r>
      <w:r w:rsidRPr="00881CB0">
        <w:rPr>
          <w:rFonts w:ascii="Garamond" w:eastAsia="Times New Roman" w:hAnsi="Garamond" w:cs="Arial"/>
          <w:sz w:val="28"/>
          <w:szCs w:val="28"/>
          <w:lang w:eastAsia="ar-SA"/>
        </w:rPr>
        <w:t>razy zastosowano inne środki dyscyplinujące (w 2015 r. w 93 przypadkach).</w:t>
      </w:r>
    </w:p>
    <w:p w:rsidR="00881CB0" w:rsidRPr="00EB0B12" w:rsidRDefault="00881CB0" w:rsidP="00881CB0">
      <w:pPr>
        <w:spacing w:line="360" w:lineRule="auto"/>
        <w:jc w:val="both"/>
        <w:rPr>
          <w:rFonts w:ascii="Arial" w:hAnsi="Arial" w:cs="Arial"/>
          <w:sz w:val="16"/>
          <w:szCs w:val="16"/>
          <w:lang w:eastAsia="pl-PL"/>
        </w:rPr>
      </w:pPr>
    </w:p>
    <w:p w:rsidR="00881CB0" w:rsidRPr="00881CB0" w:rsidRDefault="00881CB0" w:rsidP="00881CB0">
      <w:pPr>
        <w:keepNext/>
        <w:tabs>
          <w:tab w:val="left" w:pos="2836"/>
        </w:tabs>
        <w:outlineLvl w:val="0"/>
        <w:rPr>
          <w:rFonts w:cs="Tahoma"/>
          <w:sz w:val="32"/>
          <w:lang w:eastAsia="pl-PL"/>
        </w:rPr>
      </w:pPr>
      <w:r w:rsidRPr="00881CB0">
        <w:rPr>
          <w:rFonts w:ascii="Garamond" w:hAnsi="Garamond" w:cs="Arial"/>
          <w:b/>
          <w:sz w:val="28"/>
          <w:szCs w:val="28"/>
          <w:lang w:eastAsia="pl-PL"/>
        </w:rPr>
        <w:t>8</w:t>
      </w:r>
      <w:bookmarkStart w:id="67" w:name="_Toc386125920"/>
      <w:bookmarkStart w:id="68" w:name="_Toc485388689"/>
      <w:r w:rsidRPr="00881CB0">
        <w:rPr>
          <w:rFonts w:ascii="Garamond" w:hAnsi="Garamond" w:cs="Arial"/>
          <w:b/>
          <w:sz w:val="28"/>
          <w:szCs w:val="28"/>
          <w:lang w:eastAsia="pl-PL"/>
        </w:rPr>
        <w:t>. Podsumowanie i wnioski</w:t>
      </w:r>
      <w:bookmarkEnd w:id="67"/>
      <w:bookmarkEnd w:id="68"/>
    </w:p>
    <w:p w:rsidR="00881CB0" w:rsidRPr="00EB0B12" w:rsidRDefault="00881CB0" w:rsidP="00881CB0">
      <w:pPr>
        <w:spacing w:line="360" w:lineRule="auto"/>
        <w:jc w:val="both"/>
        <w:rPr>
          <w:rFonts w:ascii="Arial" w:hAnsi="Arial" w:cs="Arial"/>
          <w:sz w:val="20"/>
          <w:szCs w:val="20"/>
          <w:lang w:eastAsia="en-US"/>
        </w:rPr>
      </w:pPr>
    </w:p>
    <w:p w:rsidR="00881CB0" w:rsidRPr="00881CB0" w:rsidRDefault="002C2F2D" w:rsidP="00881CB0">
      <w:pPr>
        <w:spacing w:line="360" w:lineRule="auto"/>
        <w:ind w:firstLine="709"/>
        <w:jc w:val="both"/>
        <w:rPr>
          <w:rFonts w:ascii="Garamond" w:hAnsi="Garamond" w:cs="Arial"/>
          <w:sz w:val="28"/>
          <w:szCs w:val="28"/>
          <w:lang w:eastAsia="pl-PL"/>
        </w:rPr>
      </w:pPr>
      <w:r>
        <w:rPr>
          <w:rFonts w:ascii="Garamond" w:hAnsi="Garamond" w:cs="Arial"/>
          <w:sz w:val="28"/>
          <w:szCs w:val="28"/>
          <w:lang w:eastAsia="pl-PL"/>
        </w:rPr>
        <w:t xml:space="preserve">W </w:t>
      </w:r>
      <w:r w:rsidR="00881CB0" w:rsidRPr="00881CB0">
        <w:rPr>
          <w:rFonts w:ascii="Garamond" w:hAnsi="Garamond" w:cs="Arial"/>
          <w:sz w:val="28"/>
          <w:szCs w:val="28"/>
          <w:lang w:eastAsia="pl-PL"/>
        </w:rPr>
        <w:t>okresie sprawozdawczym za rok 2016 kierownicy jednostek organizacyjnych Służby Więziennej realizowali wnioski wynikające z resortowej „Informacji o sposobie przyjmowania i załatwiania skarg i wniosków obywateli skierowanych do resortu sprawiedliwości w 2015 r.”.</w:t>
      </w:r>
    </w:p>
    <w:p w:rsidR="00881CB0" w:rsidRPr="00881CB0" w:rsidRDefault="00881CB0" w:rsidP="00881CB0">
      <w:pPr>
        <w:spacing w:line="360" w:lineRule="auto"/>
        <w:ind w:firstLine="709"/>
        <w:jc w:val="both"/>
        <w:rPr>
          <w:rFonts w:cs="Tahoma"/>
          <w:sz w:val="28"/>
          <w:lang w:eastAsia="pl-PL"/>
        </w:rPr>
      </w:pPr>
      <w:r w:rsidRPr="00881CB0">
        <w:rPr>
          <w:rFonts w:ascii="Garamond" w:hAnsi="Garamond" w:cs="Arial"/>
          <w:sz w:val="28"/>
          <w:szCs w:val="28"/>
          <w:lang w:eastAsia="pl-PL"/>
        </w:rPr>
        <w:lastRenderedPageBreak/>
        <w:t>Centralny Zarząd Służby Więziennej i dyrektorzy okręgowi Służby Więziennej zorganizowali szereg kontroli zewnętrznych oraz szkoleń w zakresie przestrzegania przez administrację więzienną przepisów normujących wykonywanie kary pozbawienia wolności i tymczasowego aresztowania oraz załatwiania wniosków, skarg i próśb osób osadzonych, a także kontynuowali działania kontrolne w celu ujawniania i eliminowania źródeł i przyczyn skarg. Działania         te powinny być prowadzone także w kolejnych latach.</w:t>
      </w:r>
    </w:p>
    <w:p w:rsidR="00881CB0" w:rsidRPr="00881CB0" w:rsidRDefault="00881CB0" w:rsidP="00881CB0">
      <w:pPr>
        <w:spacing w:line="360" w:lineRule="auto"/>
        <w:ind w:firstLine="709"/>
        <w:jc w:val="both"/>
        <w:rPr>
          <w:rFonts w:cs="Tahoma"/>
          <w:sz w:val="28"/>
          <w:lang w:eastAsia="pl-PL"/>
        </w:rPr>
      </w:pPr>
      <w:r w:rsidRPr="00881CB0">
        <w:rPr>
          <w:rFonts w:ascii="Garamond" w:hAnsi="Garamond" w:cs="Arial"/>
          <w:sz w:val="28"/>
          <w:szCs w:val="28"/>
          <w:lang w:eastAsia="pl-PL"/>
        </w:rPr>
        <w:t xml:space="preserve">Ponadto kwartalnie sporządzano analizy skarg obrazujące ich wpływ, zasadność i problematykę, co pozwalało na bieżące wprowadzanie zmian mających na celu usprawnienie pracy funkcjonariuszy i pracowników w poszczególnych pionach służb. Ich wyniki były omawiane na odprawach służbowych realizowanych w jednostkach podstawowych. Analizy problematyki objętej </w:t>
      </w:r>
      <w:r w:rsidRPr="00881CB0">
        <w:rPr>
          <w:rFonts w:ascii="Garamond" w:hAnsi="Garamond" w:cs="Arial"/>
          <w:i/>
          <w:sz w:val="28"/>
          <w:szCs w:val="28"/>
          <w:lang w:eastAsia="pl-PL"/>
        </w:rPr>
        <w:t>Informacją</w:t>
      </w:r>
      <w:r w:rsidRPr="00881CB0">
        <w:rPr>
          <w:rFonts w:ascii="Garamond" w:hAnsi="Garamond" w:cs="Arial"/>
          <w:sz w:val="28"/>
          <w:szCs w:val="28"/>
          <w:lang w:eastAsia="pl-PL"/>
        </w:rPr>
        <w:t xml:space="preserve"> </w:t>
      </w:r>
      <w:r w:rsidRPr="00881CB0">
        <w:rPr>
          <w:rFonts w:ascii="Garamond" w:hAnsi="Garamond" w:cs="Arial"/>
          <w:i/>
          <w:sz w:val="28"/>
          <w:szCs w:val="28"/>
          <w:lang w:eastAsia="pl-PL"/>
        </w:rPr>
        <w:t>o sposobie załatwiania wniosków, skarg i próśb przez kierowników jednostek organizacyjnych Służby Więziennej</w:t>
      </w:r>
      <w:r w:rsidRPr="00881CB0">
        <w:rPr>
          <w:rFonts w:ascii="Garamond" w:hAnsi="Garamond" w:cs="Arial"/>
          <w:sz w:val="28"/>
          <w:szCs w:val="28"/>
          <w:lang w:eastAsia="pl-PL"/>
        </w:rPr>
        <w:t xml:space="preserve"> były omawiane także zarówno w trakcie kolegiów dyrektorów, jak i na ogólnych posiedzeniach kierownictwa jednostek organizacyjnych więziennictwa,         a wynikające z nich wnioski były wdrażane do realizacji.</w:t>
      </w:r>
    </w:p>
    <w:p w:rsidR="00881CB0" w:rsidRPr="00881CB0" w:rsidRDefault="00881CB0" w:rsidP="00881CB0">
      <w:pPr>
        <w:spacing w:line="360" w:lineRule="auto"/>
        <w:ind w:firstLine="709"/>
        <w:jc w:val="both"/>
        <w:rPr>
          <w:rFonts w:ascii="Garamond" w:hAnsi="Garamond" w:cs="Arial"/>
          <w:sz w:val="28"/>
          <w:szCs w:val="28"/>
          <w:lang w:eastAsia="pl-PL"/>
        </w:rPr>
      </w:pPr>
      <w:r w:rsidRPr="00881CB0">
        <w:rPr>
          <w:rFonts w:ascii="Garamond" w:hAnsi="Garamond" w:cs="Arial"/>
          <w:sz w:val="28"/>
          <w:szCs w:val="28"/>
          <w:lang w:eastAsia="pl-PL"/>
        </w:rPr>
        <w:t>W każdym przypadku uznania skargi za uzasadnioną do dyrektorów jednostek, gdzie stwierdzono nieprawidłowości, wystosowywano odrębne wystąpienia, w treści których wskazywano na popełnione uchybienia, polecano</w:t>
      </w:r>
      <w:r w:rsidR="007F3722">
        <w:rPr>
          <w:rFonts w:ascii="Garamond" w:hAnsi="Garamond" w:cs="Arial"/>
          <w:sz w:val="28"/>
          <w:szCs w:val="28"/>
          <w:lang w:eastAsia="pl-PL"/>
        </w:rPr>
        <w:t xml:space="preserve">    </w:t>
      </w:r>
      <w:r w:rsidRPr="00881CB0">
        <w:rPr>
          <w:rFonts w:ascii="Garamond" w:hAnsi="Garamond" w:cs="Arial"/>
          <w:sz w:val="28"/>
          <w:szCs w:val="28"/>
          <w:lang w:eastAsia="pl-PL"/>
        </w:rPr>
        <w:t xml:space="preserve"> ich wyeliminowanie i przeprowadzenie postępowania wyjaśniającego, mającego </w:t>
      </w:r>
      <w:r w:rsidR="007F3722">
        <w:rPr>
          <w:rFonts w:ascii="Garamond" w:hAnsi="Garamond" w:cs="Arial"/>
          <w:sz w:val="28"/>
          <w:szCs w:val="28"/>
          <w:lang w:eastAsia="pl-PL"/>
        </w:rPr>
        <w:t xml:space="preserve">      </w:t>
      </w:r>
      <w:r w:rsidRPr="00881CB0">
        <w:rPr>
          <w:rFonts w:ascii="Garamond" w:hAnsi="Garamond" w:cs="Arial"/>
          <w:sz w:val="28"/>
          <w:szCs w:val="28"/>
          <w:lang w:eastAsia="pl-PL"/>
        </w:rPr>
        <w:t xml:space="preserve">na celu ujawnienie przyczyn tych zaniedbań, osób winnych ich powstania </w:t>
      </w:r>
      <w:r w:rsidR="007F3722">
        <w:rPr>
          <w:rFonts w:ascii="Garamond" w:hAnsi="Garamond" w:cs="Arial"/>
          <w:sz w:val="28"/>
          <w:szCs w:val="28"/>
          <w:lang w:eastAsia="pl-PL"/>
        </w:rPr>
        <w:t xml:space="preserve">           </w:t>
      </w:r>
      <w:r w:rsidRPr="00881CB0">
        <w:rPr>
          <w:rFonts w:ascii="Garamond" w:hAnsi="Garamond" w:cs="Arial"/>
          <w:sz w:val="28"/>
          <w:szCs w:val="28"/>
          <w:lang w:eastAsia="pl-PL"/>
        </w:rPr>
        <w:t xml:space="preserve">oraz podjęcie działań, pozwalających na uniknięcie podobnych nieprawidłowości </w:t>
      </w:r>
      <w:r w:rsidR="007F3722">
        <w:rPr>
          <w:rFonts w:ascii="Garamond" w:hAnsi="Garamond" w:cs="Arial"/>
          <w:sz w:val="28"/>
          <w:szCs w:val="28"/>
          <w:lang w:eastAsia="pl-PL"/>
        </w:rPr>
        <w:t xml:space="preserve">    </w:t>
      </w:r>
      <w:r w:rsidRPr="00881CB0">
        <w:rPr>
          <w:rFonts w:ascii="Garamond" w:hAnsi="Garamond" w:cs="Arial"/>
          <w:sz w:val="28"/>
          <w:szCs w:val="28"/>
          <w:lang w:eastAsia="pl-PL"/>
        </w:rPr>
        <w:t>w przyszłości. Sprawy takie były również omawiane na odprawach z udziałem dyrektorów jednostek.</w:t>
      </w:r>
    </w:p>
    <w:p w:rsidR="00881CB0" w:rsidRPr="00881CB0" w:rsidRDefault="00881CB0" w:rsidP="00881CB0">
      <w:pPr>
        <w:spacing w:line="360" w:lineRule="auto"/>
        <w:ind w:firstLine="709"/>
        <w:jc w:val="both"/>
        <w:rPr>
          <w:rFonts w:ascii="Garamond" w:hAnsi="Garamond" w:cs="Arial"/>
          <w:sz w:val="28"/>
          <w:szCs w:val="28"/>
          <w:lang w:eastAsia="pl-PL"/>
        </w:rPr>
      </w:pPr>
      <w:r w:rsidRPr="00881CB0">
        <w:rPr>
          <w:rFonts w:ascii="Garamond" w:hAnsi="Garamond" w:cs="Arial"/>
          <w:sz w:val="28"/>
          <w:szCs w:val="28"/>
          <w:lang w:eastAsia="pl-PL"/>
        </w:rPr>
        <w:t>Kontrola przestrzegania przez jednostki podległe przepisów związanych           z terminowym rozpatrywaniem pism osadzonych służy poprawie funkcjonowania administracji jednostek penitencjarnych w tym zakresie. Na zmniejszenie liczby skarg przede wszystkim może także wpłynąć przestrzeganie przez funkcjonariuszy     i pracowników Służby Więziennej przepisów związanych z praworządnym traktowaniem osadzonych, egzekwowanie kulturalnego ich zachowania wobec osadzonych, wyciąganie konsekwencji służbowych wobec osób, któr</w:t>
      </w:r>
      <w:r w:rsidR="00D23330">
        <w:rPr>
          <w:rFonts w:ascii="Garamond" w:hAnsi="Garamond" w:cs="Arial"/>
          <w:sz w:val="28"/>
          <w:szCs w:val="28"/>
          <w:lang w:eastAsia="pl-PL"/>
        </w:rPr>
        <w:t>e</w:t>
      </w:r>
      <w:r w:rsidRPr="00881CB0">
        <w:rPr>
          <w:rFonts w:ascii="Garamond" w:hAnsi="Garamond" w:cs="Arial"/>
          <w:sz w:val="28"/>
          <w:szCs w:val="28"/>
          <w:lang w:eastAsia="pl-PL"/>
        </w:rPr>
        <w:t xml:space="preserve"> przez </w:t>
      </w:r>
      <w:r w:rsidRPr="00881CB0">
        <w:rPr>
          <w:rFonts w:ascii="Garamond" w:hAnsi="Garamond" w:cs="Arial"/>
          <w:sz w:val="28"/>
          <w:szCs w:val="28"/>
          <w:lang w:eastAsia="pl-PL"/>
        </w:rPr>
        <w:lastRenderedPageBreak/>
        <w:t>niedbałe wykonywanie powierzonych im obowiązków powodują wystąpienie nieprawidłowości. Niezwykle ważnym działaniem jest również upowszechnianie         i propagowanie wśród osadzonych przepisów normujących wykonywanie tymczasowego aresztowania oraz kary pozbawienia wolności, obejmowanie wzmożoną opieką wychowawczo - psychologiczną osadzonych roszczeniowych.</w:t>
      </w:r>
    </w:p>
    <w:p w:rsidR="00881CB0" w:rsidRPr="00881CB0" w:rsidRDefault="00881CB0" w:rsidP="00881CB0">
      <w:pPr>
        <w:spacing w:line="360" w:lineRule="auto"/>
        <w:ind w:firstLine="709"/>
        <w:jc w:val="both"/>
        <w:rPr>
          <w:rFonts w:cs="Tahoma"/>
          <w:sz w:val="28"/>
          <w:lang w:eastAsia="pl-PL"/>
        </w:rPr>
      </w:pPr>
      <w:r w:rsidRPr="00881CB0">
        <w:rPr>
          <w:rFonts w:ascii="Garamond" w:hAnsi="Garamond" w:cs="Arial"/>
          <w:sz w:val="28"/>
          <w:szCs w:val="28"/>
          <w:lang w:eastAsia="pl-PL"/>
        </w:rPr>
        <w:t>W tym zakresie niezbędne jest m.in. prowadzenie doskonalenia zawodowego funkcjonariuszy w zakresie obowiązujących przepisów, rozwiązywanie na bieżąco lub w możliwie krótkim czasie, problemów i próśb zgłaszanych przez osadzonych, wypracowanie w drodze szkoleń profesjonalnego podejścia funkcjonariuszy do osób osadzonych, w szczególności umiejętności rozwiązywania bieżących konfliktów z osobami osadzonymi, wprowadzanie właściwych uregulowań wewnętrznych jednostek organizacyjnych (z uwzględnieniem jej specyfiki) mających na celu usprawnienie załatwienia bieżących spraw osadzonych, obejmowanie wzmożoną opieką wychowawczą i oddziaływaniem psychologicznym osadzonych prezentujących roszczeniową postawę oraz tendencje do negatywnego nastawienia wobec działań podejmowanych przez funkcjonariuszy Służby Więziennej. Powyższe działania mają służyć wypracowaniu właściwej atmosfery p</w:t>
      </w:r>
      <w:r w:rsidR="00D23330">
        <w:rPr>
          <w:rFonts w:ascii="Garamond" w:hAnsi="Garamond" w:cs="Arial"/>
          <w:sz w:val="28"/>
          <w:szCs w:val="28"/>
          <w:lang w:eastAsia="pl-PL"/>
        </w:rPr>
        <w:t xml:space="preserve">omiędzy administracją więzienną a </w:t>
      </w:r>
      <w:r w:rsidRPr="00881CB0">
        <w:rPr>
          <w:rFonts w:ascii="Garamond" w:hAnsi="Garamond" w:cs="Arial"/>
          <w:sz w:val="28"/>
          <w:szCs w:val="28"/>
          <w:lang w:eastAsia="pl-PL"/>
        </w:rPr>
        <w:t>osobami przebywającymi w wa</w:t>
      </w:r>
      <w:r w:rsidR="002640F6">
        <w:rPr>
          <w:rFonts w:ascii="Garamond" w:hAnsi="Garamond" w:cs="Arial"/>
          <w:sz w:val="28"/>
          <w:szCs w:val="28"/>
          <w:lang w:eastAsia="pl-PL"/>
        </w:rPr>
        <w:t>runkach izolacji penitencjarnej.</w:t>
      </w:r>
    </w:p>
    <w:p w:rsidR="00881CB0" w:rsidRPr="00881CB0" w:rsidRDefault="00881CB0" w:rsidP="00881CB0">
      <w:pPr>
        <w:spacing w:line="360" w:lineRule="auto"/>
        <w:jc w:val="both"/>
        <w:rPr>
          <w:rFonts w:ascii="Garamond" w:hAnsi="Garamond" w:cs="Arial"/>
          <w:sz w:val="28"/>
          <w:szCs w:val="28"/>
          <w:lang w:eastAsia="pl-PL"/>
        </w:rPr>
      </w:pPr>
      <w:r w:rsidRPr="00881CB0">
        <w:rPr>
          <w:rFonts w:ascii="Garamond" w:hAnsi="Garamond" w:cs="Arial"/>
          <w:sz w:val="28"/>
          <w:szCs w:val="28"/>
          <w:lang w:eastAsia="pl-PL"/>
        </w:rPr>
        <w:t>Ponadto niezbędne jest:</w:t>
      </w:r>
    </w:p>
    <w:p w:rsidR="00881CB0" w:rsidRPr="00881CB0" w:rsidRDefault="002C2F2D" w:rsidP="00881CB0">
      <w:pPr>
        <w:spacing w:line="360" w:lineRule="auto"/>
        <w:jc w:val="both"/>
        <w:rPr>
          <w:rFonts w:ascii="Garamond" w:hAnsi="Garamond" w:cs="Arial"/>
          <w:sz w:val="28"/>
          <w:szCs w:val="28"/>
          <w:lang w:eastAsia="pl-PL"/>
        </w:rPr>
      </w:pPr>
      <w:r>
        <w:rPr>
          <w:rFonts w:ascii="Garamond" w:hAnsi="Garamond" w:cs="Arial"/>
          <w:sz w:val="28"/>
          <w:szCs w:val="28"/>
          <w:lang w:eastAsia="pl-PL"/>
        </w:rPr>
        <w:t>1.</w:t>
      </w:r>
      <w:r w:rsidR="00BC773D">
        <w:rPr>
          <w:rFonts w:ascii="Garamond" w:hAnsi="Garamond" w:cs="Arial"/>
          <w:sz w:val="28"/>
          <w:szCs w:val="28"/>
          <w:lang w:eastAsia="pl-PL"/>
        </w:rPr>
        <w:t xml:space="preserve"> </w:t>
      </w:r>
      <w:r w:rsidR="00881CB0" w:rsidRPr="00881CB0">
        <w:rPr>
          <w:rFonts w:ascii="Garamond" w:hAnsi="Garamond" w:cs="Arial"/>
          <w:sz w:val="28"/>
          <w:szCs w:val="28"/>
          <w:lang w:eastAsia="pl-PL"/>
        </w:rPr>
        <w:t>Kontynuowanie przez dyrektorów okręgowych i dyrektorów jednostek podstawowych okresowego analizowania ilości i problematyki skarg oraz przyczyn wzrostu skarg wnoszonych przez osoby pozbawione wolności na działalność zakładów karnych i aresztów śledczych i podejmowanie skutecznych działań eliminujących przyczyny i źródła tych skarg.</w:t>
      </w:r>
    </w:p>
    <w:p w:rsidR="00881CB0" w:rsidRPr="00881CB0" w:rsidRDefault="00881CB0" w:rsidP="00881CB0">
      <w:pPr>
        <w:spacing w:line="360" w:lineRule="auto"/>
        <w:jc w:val="both"/>
        <w:rPr>
          <w:rFonts w:ascii="Garamond" w:hAnsi="Garamond" w:cs="Arial"/>
          <w:sz w:val="28"/>
          <w:szCs w:val="28"/>
          <w:lang w:eastAsia="pl-PL"/>
        </w:rPr>
      </w:pPr>
      <w:r w:rsidRPr="00881CB0">
        <w:rPr>
          <w:rFonts w:ascii="Garamond" w:hAnsi="Garamond" w:cs="Arial"/>
          <w:sz w:val="28"/>
          <w:szCs w:val="28"/>
          <w:lang w:eastAsia="pl-PL"/>
        </w:rPr>
        <w:t>2.</w:t>
      </w:r>
      <w:r w:rsidR="00BC773D">
        <w:rPr>
          <w:rFonts w:ascii="Garamond" w:hAnsi="Garamond" w:cs="Arial"/>
          <w:sz w:val="28"/>
          <w:szCs w:val="28"/>
          <w:lang w:eastAsia="pl-PL"/>
        </w:rPr>
        <w:t xml:space="preserve"> </w:t>
      </w:r>
      <w:r w:rsidRPr="00881CB0">
        <w:rPr>
          <w:rFonts w:ascii="Garamond" w:hAnsi="Garamond" w:cs="Arial"/>
          <w:sz w:val="28"/>
          <w:szCs w:val="28"/>
          <w:lang w:eastAsia="pl-PL"/>
        </w:rPr>
        <w:t xml:space="preserve">Kontynuowanie przez Centralny Zarząd Służby Więziennej i okręgowe inspektoraty Służby Więziennej prowadzenia czynności profilaktycznych                   i kontrolnych ukierunkowanych na ujawnianie nieprawidłowości i uchybień w funkcjonowaniu jednostek penitencjarnych, m.in. w zakresie przestrzegania             w nich praw osób pozbawionych wolności i egzekwowanie od administracji więziennej należytego wykorzystywania ustaleń tych kontroli i prawidłowego </w:t>
      </w:r>
      <w:r w:rsidRPr="00881CB0">
        <w:rPr>
          <w:rFonts w:ascii="Garamond" w:hAnsi="Garamond" w:cs="Arial"/>
          <w:sz w:val="28"/>
          <w:szCs w:val="28"/>
          <w:lang w:eastAsia="pl-PL"/>
        </w:rPr>
        <w:lastRenderedPageBreak/>
        <w:t>wykonywania poleceń, zaleceń i wniosków pokontrolnych.</w:t>
      </w:r>
    </w:p>
    <w:p w:rsidR="00881CB0" w:rsidRPr="00881CB0" w:rsidRDefault="00881CB0" w:rsidP="00881CB0">
      <w:pPr>
        <w:spacing w:line="360" w:lineRule="auto"/>
        <w:jc w:val="both"/>
        <w:rPr>
          <w:rFonts w:ascii="Garamond" w:hAnsi="Garamond" w:cs="Arial"/>
          <w:sz w:val="28"/>
          <w:szCs w:val="28"/>
          <w:lang w:eastAsia="pl-PL"/>
        </w:rPr>
      </w:pPr>
      <w:r w:rsidRPr="00881CB0">
        <w:rPr>
          <w:rFonts w:ascii="Garamond" w:hAnsi="Garamond" w:cs="Arial"/>
          <w:sz w:val="28"/>
          <w:szCs w:val="28"/>
          <w:lang w:eastAsia="pl-PL"/>
        </w:rPr>
        <w:t>3.</w:t>
      </w:r>
      <w:r w:rsidR="00BC773D">
        <w:rPr>
          <w:rFonts w:ascii="Garamond" w:hAnsi="Garamond" w:cs="Arial"/>
          <w:sz w:val="28"/>
          <w:szCs w:val="28"/>
          <w:lang w:eastAsia="pl-PL"/>
        </w:rPr>
        <w:t xml:space="preserve"> </w:t>
      </w:r>
      <w:r w:rsidRPr="00881CB0">
        <w:rPr>
          <w:rFonts w:ascii="Garamond" w:hAnsi="Garamond" w:cs="Arial"/>
          <w:sz w:val="28"/>
          <w:szCs w:val="28"/>
          <w:lang w:eastAsia="pl-PL"/>
        </w:rPr>
        <w:t>Obejmowanie wzmożoną opieką wychowawczą i oddziaływaniem psychologicznym tych osadzonych, którzy prezentują zaburzenia osobowości przejawiające się w ich postawach roszczeniowych oraz tendencją do negatywnego nastawienia do działań podejmowanych przez Służbę Więzienną.</w:t>
      </w:r>
    </w:p>
    <w:p w:rsidR="00881CB0" w:rsidRPr="00881CB0" w:rsidRDefault="00881CB0" w:rsidP="00881CB0">
      <w:pPr>
        <w:spacing w:line="360" w:lineRule="auto"/>
        <w:jc w:val="both"/>
        <w:rPr>
          <w:rFonts w:cs="Tahoma"/>
          <w:sz w:val="28"/>
          <w:lang w:eastAsia="pl-PL"/>
        </w:rPr>
      </w:pPr>
      <w:r w:rsidRPr="00881CB0">
        <w:rPr>
          <w:rFonts w:ascii="Garamond" w:hAnsi="Garamond" w:cs="Arial"/>
          <w:sz w:val="28"/>
          <w:szCs w:val="28"/>
          <w:lang w:eastAsia="pl-PL"/>
        </w:rPr>
        <w:t>4.</w:t>
      </w:r>
      <w:r w:rsidR="00BC773D">
        <w:rPr>
          <w:rFonts w:ascii="Garamond" w:hAnsi="Garamond" w:cs="Arial"/>
          <w:sz w:val="28"/>
          <w:szCs w:val="28"/>
          <w:lang w:eastAsia="pl-PL"/>
        </w:rPr>
        <w:t xml:space="preserve"> </w:t>
      </w:r>
      <w:r w:rsidRPr="00881CB0">
        <w:rPr>
          <w:rFonts w:ascii="Garamond" w:hAnsi="Garamond" w:cs="Arial"/>
          <w:sz w:val="28"/>
          <w:szCs w:val="28"/>
          <w:lang w:eastAsia="pl-PL"/>
        </w:rPr>
        <w:t>Wypracowanie właściwej atmosfery pracy w celu poprawy współpracy pomiędzy funkcjonariuszami i pracownikami poszczególnych działów służb, skutkującej lepszą komunikacją, a także bieżącym przekazywaniem informacji o atmosferze panującej wśród osadzonych.</w:t>
      </w:r>
    </w:p>
    <w:p w:rsidR="00881CB0" w:rsidRPr="00881CB0" w:rsidRDefault="00881CB0" w:rsidP="00881CB0">
      <w:pPr>
        <w:spacing w:line="360" w:lineRule="auto"/>
        <w:jc w:val="both"/>
        <w:rPr>
          <w:rFonts w:ascii="Garamond" w:hAnsi="Garamond" w:cs="Arial"/>
          <w:sz w:val="28"/>
          <w:szCs w:val="28"/>
          <w:lang w:eastAsia="pl-PL"/>
        </w:rPr>
      </w:pPr>
      <w:r w:rsidRPr="00881CB0">
        <w:rPr>
          <w:rFonts w:ascii="Garamond" w:hAnsi="Garamond" w:cs="Arial"/>
          <w:sz w:val="28"/>
          <w:szCs w:val="28"/>
          <w:lang w:eastAsia="pl-PL"/>
        </w:rPr>
        <w:t>5.</w:t>
      </w:r>
      <w:r w:rsidR="00BC773D">
        <w:rPr>
          <w:rFonts w:ascii="Garamond" w:hAnsi="Garamond" w:cs="Arial"/>
          <w:sz w:val="28"/>
          <w:szCs w:val="28"/>
          <w:lang w:eastAsia="pl-PL"/>
        </w:rPr>
        <w:t xml:space="preserve"> </w:t>
      </w:r>
      <w:r w:rsidRPr="00881CB0">
        <w:rPr>
          <w:rFonts w:ascii="Garamond" w:hAnsi="Garamond" w:cs="Arial"/>
          <w:sz w:val="28"/>
          <w:szCs w:val="28"/>
          <w:lang w:eastAsia="pl-PL"/>
        </w:rPr>
        <w:t>Dążenie do wypracowania jak najlepszego modelu postępowania w przypadku zgłaszania przez osadzonych ich problemów, skutkującego udzieleniem im niezbędnych wyjaśnień, przekazania zrozumiałych informacji, czy umożliwienia natychmiastowej reakcji w celu wyeliminowania zgłaszanych przez nich nieprawidłowości występujących w pracy administracji jednostek penitencjarnych.</w:t>
      </w:r>
    </w:p>
    <w:p w:rsidR="00881CB0" w:rsidRPr="00881CB0" w:rsidRDefault="00881CB0" w:rsidP="00881CB0">
      <w:pPr>
        <w:spacing w:line="360" w:lineRule="auto"/>
        <w:jc w:val="both"/>
        <w:rPr>
          <w:rFonts w:ascii="Garamond" w:hAnsi="Garamond" w:cs="Arial"/>
          <w:sz w:val="28"/>
          <w:szCs w:val="28"/>
          <w:lang w:eastAsia="pl-PL"/>
        </w:rPr>
      </w:pPr>
      <w:r w:rsidRPr="00881CB0">
        <w:rPr>
          <w:rFonts w:ascii="Garamond" w:hAnsi="Garamond" w:cs="Arial"/>
          <w:sz w:val="28"/>
          <w:szCs w:val="28"/>
          <w:lang w:eastAsia="pl-PL"/>
        </w:rPr>
        <w:t>6.</w:t>
      </w:r>
      <w:r w:rsidR="00BC773D">
        <w:rPr>
          <w:rFonts w:ascii="Garamond" w:hAnsi="Garamond" w:cs="Arial"/>
          <w:sz w:val="28"/>
          <w:szCs w:val="28"/>
          <w:lang w:eastAsia="pl-PL"/>
        </w:rPr>
        <w:t xml:space="preserve"> </w:t>
      </w:r>
      <w:r w:rsidRPr="00881CB0">
        <w:rPr>
          <w:rFonts w:ascii="Garamond" w:hAnsi="Garamond" w:cs="Arial"/>
          <w:sz w:val="28"/>
          <w:szCs w:val="28"/>
          <w:lang w:eastAsia="pl-PL"/>
        </w:rPr>
        <w:t>Monitorowanie poprawnego stosow</w:t>
      </w:r>
      <w:r w:rsidR="002C2F2D">
        <w:rPr>
          <w:rFonts w:ascii="Garamond" w:hAnsi="Garamond" w:cs="Arial"/>
          <w:sz w:val="28"/>
          <w:szCs w:val="28"/>
          <w:lang w:eastAsia="pl-PL"/>
        </w:rPr>
        <w:t>ania dyspozycji art. 6 § 2 i 3 k</w:t>
      </w:r>
      <w:r w:rsidRPr="00881CB0">
        <w:rPr>
          <w:rFonts w:ascii="Garamond" w:hAnsi="Garamond" w:cs="Arial"/>
          <w:sz w:val="28"/>
          <w:szCs w:val="28"/>
          <w:lang w:eastAsia="pl-PL"/>
        </w:rPr>
        <w:t xml:space="preserve">.k.w. w zakresie możliwości pozostawienia skarg, próśb bez rozpoznania.  </w:t>
      </w:r>
    </w:p>
    <w:p w:rsidR="00881CB0" w:rsidRPr="00881CB0" w:rsidRDefault="00881CB0" w:rsidP="00881CB0">
      <w:pPr>
        <w:spacing w:line="360" w:lineRule="auto"/>
        <w:jc w:val="both"/>
        <w:rPr>
          <w:rFonts w:ascii="Garamond" w:hAnsi="Garamond" w:cs="Arial"/>
          <w:sz w:val="28"/>
          <w:szCs w:val="28"/>
          <w:lang w:eastAsia="pl-PL"/>
        </w:rPr>
      </w:pPr>
    </w:p>
    <w:p w:rsidR="00881CB0" w:rsidRPr="00881CB0" w:rsidRDefault="00881CB0" w:rsidP="00881CB0">
      <w:pPr>
        <w:spacing w:line="360" w:lineRule="auto"/>
        <w:jc w:val="both"/>
        <w:rPr>
          <w:rFonts w:ascii="Garamond" w:hAnsi="Garamond" w:cs="Arial"/>
          <w:sz w:val="28"/>
          <w:szCs w:val="28"/>
          <w:lang w:eastAsia="pl-PL"/>
        </w:rPr>
      </w:pPr>
    </w:p>
    <w:p w:rsidR="00881CB0" w:rsidRPr="00881CB0" w:rsidRDefault="00881CB0" w:rsidP="00881CB0">
      <w:pPr>
        <w:spacing w:line="360" w:lineRule="auto"/>
        <w:jc w:val="both"/>
        <w:rPr>
          <w:rFonts w:ascii="Garamond" w:hAnsi="Garamond" w:cs="Arial"/>
          <w:sz w:val="28"/>
          <w:szCs w:val="28"/>
          <w:lang w:eastAsia="pl-PL"/>
        </w:rPr>
      </w:pPr>
    </w:p>
    <w:p w:rsidR="00881CB0" w:rsidRPr="00881CB0" w:rsidRDefault="00881CB0" w:rsidP="00881CB0">
      <w:pPr>
        <w:spacing w:line="360" w:lineRule="auto"/>
        <w:jc w:val="both"/>
        <w:rPr>
          <w:rFonts w:ascii="Garamond" w:hAnsi="Garamond" w:cs="Arial"/>
          <w:sz w:val="28"/>
          <w:szCs w:val="28"/>
          <w:lang w:eastAsia="pl-PL"/>
        </w:rPr>
      </w:pPr>
    </w:p>
    <w:p w:rsidR="00881CB0" w:rsidRPr="00881CB0" w:rsidRDefault="00881CB0" w:rsidP="00881CB0">
      <w:pPr>
        <w:spacing w:line="360" w:lineRule="auto"/>
        <w:jc w:val="both"/>
        <w:rPr>
          <w:rFonts w:ascii="Garamond" w:hAnsi="Garamond" w:cs="Arial"/>
          <w:sz w:val="28"/>
          <w:szCs w:val="28"/>
          <w:lang w:eastAsia="pl-PL"/>
        </w:rPr>
      </w:pPr>
    </w:p>
    <w:p w:rsidR="00881CB0" w:rsidRDefault="00881CB0" w:rsidP="00881CB0">
      <w:pPr>
        <w:spacing w:line="360" w:lineRule="auto"/>
        <w:jc w:val="both"/>
        <w:rPr>
          <w:rFonts w:ascii="Garamond" w:hAnsi="Garamond" w:cs="Arial"/>
          <w:sz w:val="28"/>
          <w:szCs w:val="28"/>
          <w:lang w:eastAsia="pl-PL"/>
        </w:rPr>
      </w:pPr>
    </w:p>
    <w:p w:rsidR="00BC773D" w:rsidRDefault="00BC773D" w:rsidP="00881CB0">
      <w:pPr>
        <w:spacing w:line="360" w:lineRule="auto"/>
        <w:jc w:val="both"/>
        <w:rPr>
          <w:rFonts w:ascii="Garamond" w:hAnsi="Garamond" w:cs="Arial"/>
          <w:sz w:val="28"/>
          <w:szCs w:val="28"/>
          <w:lang w:eastAsia="pl-PL"/>
        </w:rPr>
      </w:pPr>
    </w:p>
    <w:p w:rsidR="002640F6" w:rsidRDefault="002640F6" w:rsidP="00881CB0">
      <w:pPr>
        <w:spacing w:line="360" w:lineRule="auto"/>
        <w:jc w:val="both"/>
        <w:rPr>
          <w:rFonts w:ascii="Garamond" w:hAnsi="Garamond" w:cs="Arial"/>
          <w:sz w:val="28"/>
          <w:szCs w:val="28"/>
          <w:lang w:eastAsia="pl-PL"/>
        </w:rPr>
      </w:pPr>
    </w:p>
    <w:p w:rsidR="002640F6" w:rsidRDefault="002640F6" w:rsidP="00881CB0">
      <w:pPr>
        <w:spacing w:line="360" w:lineRule="auto"/>
        <w:jc w:val="both"/>
        <w:rPr>
          <w:rFonts w:ascii="Garamond" w:hAnsi="Garamond" w:cs="Arial"/>
          <w:sz w:val="28"/>
          <w:szCs w:val="28"/>
          <w:lang w:eastAsia="pl-PL"/>
        </w:rPr>
      </w:pPr>
    </w:p>
    <w:p w:rsidR="00BC773D" w:rsidRDefault="00BC773D" w:rsidP="00881CB0">
      <w:pPr>
        <w:spacing w:line="360" w:lineRule="auto"/>
        <w:jc w:val="both"/>
        <w:rPr>
          <w:rFonts w:ascii="Garamond" w:hAnsi="Garamond" w:cs="Arial"/>
          <w:sz w:val="28"/>
          <w:szCs w:val="28"/>
          <w:lang w:eastAsia="pl-PL"/>
        </w:rPr>
      </w:pPr>
    </w:p>
    <w:p w:rsidR="00BC773D" w:rsidRDefault="00BC773D" w:rsidP="00881CB0">
      <w:pPr>
        <w:spacing w:line="360" w:lineRule="auto"/>
        <w:jc w:val="both"/>
        <w:rPr>
          <w:rFonts w:ascii="Garamond" w:hAnsi="Garamond" w:cs="Arial"/>
          <w:sz w:val="28"/>
          <w:szCs w:val="28"/>
          <w:lang w:eastAsia="pl-PL"/>
        </w:rPr>
      </w:pPr>
    </w:p>
    <w:p w:rsidR="00BC773D" w:rsidRPr="00BC773D" w:rsidRDefault="00BC773D" w:rsidP="00881CB0">
      <w:pPr>
        <w:spacing w:line="360" w:lineRule="auto"/>
        <w:jc w:val="both"/>
        <w:rPr>
          <w:rFonts w:ascii="Garamond" w:hAnsi="Garamond" w:cs="Arial"/>
          <w:sz w:val="16"/>
          <w:szCs w:val="16"/>
          <w:lang w:eastAsia="pl-PL"/>
        </w:rPr>
      </w:pPr>
    </w:p>
    <w:p w:rsidR="00881CB0" w:rsidRPr="00881CB0" w:rsidRDefault="00881CB0" w:rsidP="00881CB0">
      <w:pPr>
        <w:jc w:val="both"/>
        <w:rPr>
          <w:rFonts w:ascii="Garamond" w:hAnsi="Garamond" w:cs="Arial"/>
          <w:sz w:val="28"/>
          <w:szCs w:val="28"/>
          <w:lang w:eastAsia="pl-PL"/>
        </w:rPr>
      </w:pPr>
      <w:r w:rsidRPr="00881CB0">
        <w:rPr>
          <w:rFonts w:ascii="Garamond" w:hAnsi="Garamond" w:cs="Arial"/>
          <w:sz w:val="28"/>
          <w:szCs w:val="28"/>
          <w:lang w:eastAsia="pl-PL"/>
        </w:rPr>
        <w:t>Sprawozdanie sporządzono</w:t>
      </w:r>
    </w:p>
    <w:p w:rsidR="00881CB0" w:rsidRPr="00881CB0" w:rsidRDefault="00881CB0" w:rsidP="00881CB0">
      <w:pPr>
        <w:jc w:val="both"/>
        <w:rPr>
          <w:rFonts w:ascii="Garamond" w:hAnsi="Garamond" w:cs="Arial"/>
          <w:i/>
          <w:sz w:val="28"/>
          <w:szCs w:val="28"/>
          <w:lang w:eastAsia="pl-PL"/>
        </w:rPr>
      </w:pPr>
      <w:r w:rsidRPr="00881CB0">
        <w:rPr>
          <w:rFonts w:ascii="Garamond" w:hAnsi="Garamond" w:cs="Arial"/>
          <w:i/>
          <w:sz w:val="28"/>
          <w:szCs w:val="28"/>
          <w:lang w:eastAsia="pl-PL"/>
        </w:rPr>
        <w:t>w Wydziale Skarg i Wniosków Biura Kontroli i Audytu Wewnętrznego</w:t>
      </w:r>
    </w:p>
    <w:p w:rsidR="00881CB0" w:rsidRPr="00881CB0" w:rsidRDefault="00881CB0" w:rsidP="00881CB0">
      <w:pPr>
        <w:spacing w:line="360" w:lineRule="auto"/>
        <w:jc w:val="both"/>
        <w:rPr>
          <w:rFonts w:ascii="Garamond" w:hAnsi="Garamond" w:cs="Arial"/>
          <w:sz w:val="28"/>
          <w:szCs w:val="28"/>
          <w:lang w:eastAsia="pl-PL"/>
        </w:rPr>
      </w:pPr>
    </w:p>
    <w:p w:rsidR="00881CB0" w:rsidRPr="00881CB0" w:rsidRDefault="00881CB0" w:rsidP="00881CB0">
      <w:pPr>
        <w:jc w:val="both"/>
        <w:rPr>
          <w:rFonts w:ascii="Garamond" w:hAnsi="Garamond" w:cs="Arial"/>
          <w:sz w:val="28"/>
          <w:szCs w:val="28"/>
          <w:lang w:eastAsia="pl-PL"/>
        </w:rPr>
      </w:pPr>
      <w:r w:rsidRPr="00881CB0">
        <w:rPr>
          <w:rFonts w:ascii="Garamond" w:hAnsi="Garamond" w:cs="Arial"/>
          <w:sz w:val="28"/>
          <w:szCs w:val="28"/>
          <w:lang w:eastAsia="pl-PL"/>
        </w:rPr>
        <w:t>z tym, że Rozdział III opracowano</w:t>
      </w:r>
    </w:p>
    <w:p w:rsidR="002D2454" w:rsidRPr="00BC773D" w:rsidRDefault="00881CB0" w:rsidP="00BC773D">
      <w:pPr>
        <w:jc w:val="both"/>
        <w:rPr>
          <w:rFonts w:ascii="Garamond" w:hAnsi="Garamond" w:cs="Arial"/>
          <w:i/>
          <w:sz w:val="28"/>
          <w:szCs w:val="28"/>
          <w:lang w:eastAsia="pl-PL"/>
        </w:rPr>
      </w:pPr>
      <w:r w:rsidRPr="00881CB0">
        <w:rPr>
          <w:rFonts w:ascii="Garamond" w:hAnsi="Garamond" w:cs="Arial"/>
          <w:i/>
          <w:sz w:val="28"/>
          <w:szCs w:val="28"/>
          <w:lang w:eastAsia="pl-PL"/>
        </w:rPr>
        <w:t>w Centralnym Zarządzie Służby Więziennej</w:t>
      </w:r>
    </w:p>
    <w:sectPr w:rsidR="002D2454" w:rsidRPr="00BC773D" w:rsidSect="00AA4429">
      <w:footerReference w:type="default" r:id="rId18"/>
      <w:pgSz w:w="11906" w:h="16838"/>
      <w:pgMar w:top="993" w:right="1417" w:bottom="568" w:left="1417" w:header="708" w:footer="35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3FF" w:rsidRDefault="00B123FF" w:rsidP="0010659C">
      <w:r>
        <w:separator/>
      </w:r>
    </w:p>
  </w:endnote>
  <w:endnote w:type="continuationSeparator" w:id="0">
    <w:p w:rsidR="00B123FF" w:rsidRDefault="00B123FF" w:rsidP="00106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atangChe">
    <w:charset w:val="81"/>
    <w:family w:val="modern"/>
    <w:pitch w:val="fixed"/>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919514397"/>
      <w:docPartObj>
        <w:docPartGallery w:val="Page Numbers (Bottom of Page)"/>
        <w:docPartUnique/>
      </w:docPartObj>
    </w:sdtPr>
    <w:sdtEndPr/>
    <w:sdtContent>
      <w:p w:rsidR="0010659C" w:rsidRDefault="0010659C">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cstheme="minorBidi"/>
            <w:sz w:val="22"/>
          </w:rPr>
          <w:fldChar w:fldCharType="begin"/>
        </w:r>
        <w:r>
          <w:instrText>PAGE    \* MERGEFORMAT</w:instrText>
        </w:r>
        <w:r>
          <w:rPr>
            <w:rFonts w:asciiTheme="minorHAnsi" w:eastAsiaTheme="minorEastAsia" w:hAnsiTheme="minorHAnsi" w:cstheme="minorBidi"/>
            <w:sz w:val="22"/>
          </w:rPr>
          <w:fldChar w:fldCharType="separate"/>
        </w:r>
        <w:r w:rsidR="003A1A97" w:rsidRPr="003A1A97">
          <w:rPr>
            <w:rFonts w:asciiTheme="majorHAnsi" w:eastAsiaTheme="majorEastAsia" w:hAnsiTheme="majorHAnsi" w:cstheme="majorBidi"/>
            <w:noProof/>
            <w:sz w:val="28"/>
            <w:szCs w:val="28"/>
          </w:rPr>
          <w:t>1</w:t>
        </w:r>
        <w:r>
          <w:rPr>
            <w:rFonts w:asciiTheme="majorHAnsi" w:eastAsiaTheme="majorEastAsia" w:hAnsiTheme="majorHAnsi" w:cstheme="majorBidi"/>
            <w:sz w:val="28"/>
            <w:szCs w:val="28"/>
          </w:rPr>
          <w:fldChar w:fldCharType="end"/>
        </w:r>
      </w:p>
    </w:sdtContent>
  </w:sdt>
  <w:p w:rsidR="0010659C" w:rsidRDefault="0010659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3FF" w:rsidRDefault="00B123FF" w:rsidP="0010659C">
      <w:r>
        <w:separator/>
      </w:r>
    </w:p>
  </w:footnote>
  <w:footnote w:type="continuationSeparator" w:id="0">
    <w:p w:rsidR="00B123FF" w:rsidRDefault="00B123FF" w:rsidP="001065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161A"/>
    <w:multiLevelType w:val="multilevel"/>
    <w:tmpl w:val="14742A40"/>
    <w:styleLink w:val="WWNum4"/>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
    <w:nsid w:val="03AC047D"/>
    <w:multiLevelType w:val="multilevel"/>
    <w:tmpl w:val="CB8436F4"/>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nsid w:val="08F37493"/>
    <w:multiLevelType w:val="multilevel"/>
    <w:tmpl w:val="0688DB06"/>
    <w:styleLink w:val="WWNum2"/>
    <w:lvl w:ilvl="0">
      <w:numFmt w:val="bullet"/>
      <w:lvlText w:val=""/>
      <w:lvlJc w:val="left"/>
      <w:rPr>
        <w:rFonts w:ascii="Wingdings" w:hAnsi="Wingdings"/>
        <w:color w:val="00000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
    <w:nsid w:val="1C035A13"/>
    <w:multiLevelType w:val="multilevel"/>
    <w:tmpl w:val="B58E89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1D226571"/>
    <w:multiLevelType w:val="multilevel"/>
    <w:tmpl w:val="CED8A8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176595C"/>
    <w:multiLevelType w:val="multilevel"/>
    <w:tmpl w:val="BECE797A"/>
    <w:styleLink w:val="WWOutlineListStyle"/>
    <w:lvl w:ilvl="0">
      <w:start w:val="1"/>
      <w:numFmt w:val="decimal"/>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6">
    <w:nsid w:val="22030ADA"/>
    <w:multiLevelType w:val="multilevel"/>
    <w:tmpl w:val="055AA890"/>
    <w:lvl w:ilvl="0">
      <w:numFmt w:val="bullet"/>
      <w:lvlText w:val=""/>
      <w:lvlJc w:val="left"/>
      <w:pPr>
        <w:ind w:left="1003" w:hanging="360"/>
      </w:pPr>
      <w:rPr>
        <w:rFonts w:ascii="Symbol" w:hAnsi="Symbol"/>
      </w:rPr>
    </w:lvl>
    <w:lvl w:ilvl="1">
      <w:numFmt w:val="bullet"/>
      <w:lvlText w:val="o"/>
      <w:lvlJc w:val="left"/>
      <w:pPr>
        <w:ind w:left="1723" w:hanging="360"/>
      </w:pPr>
      <w:rPr>
        <w:rFonts w:ascii="Courier New" w:hAnsi="Courier New" w:cs="Courier New"/>
      </w:rPr>
    </w:lvl>
    <w:lvl w:ilvl="2">
      <w:numFmt w:val="bullet"/>
      <w:lvlText w:val=""/>
      <w:lvlJc w:val="left"/>
      <w:pPr>
        <w:ind w:left="2443" w:hanging="360"/>
      </w:pPr>
      <w:rPr>
        <w:rFonts w:ascii="Wingdings" w:hAnsi="Wingdings"/>
      </w:rPr>
    </w:lvl>
    <w:lvl w:ilvl="3">
      <w:numFmt w:val="bullet"/>
      <w:lvlText w:val=""/>
      <w:lvlJc w:val="left"/>
      <w:pPr>
        <w:ind w:left="3163" w:hanging="360"/>
      </w:pPr>
      <w:rPr>
        <w:rFonts w:ascii="Symbol" w:hAnsi="Symbol"/>
      </w:rPr>
    </w:lvl>
    <w:lvl w:ilvl="4">
      <w:numFmt w:val="bullet"/>
      <w:lvlText w:val="o"/>
      <w:lvlJc w:val="left"/>
      <w:pPr>
        <w:ind w:left="3883" w:hanging="360"/>
      </w:pPr>
      <w:rPr>
        <w:rFonts w:ascii="Courier New" w:hAnsi="Courier New" w:cs="Courier New"/>
      </w:rPr>
    </w:lvl>
    <w:lvl w:ilvl="5">
      <w:numFmt w:val="bullet"/>
      <w:lvlText w:val=""/>
      <w:lvlJc w:val="left"/>
      <w:pPr>
        <w:ind w:left="4603" w:hanging="360"/>
      </w:pPr>
      <w:rPr>
        <w:rFonts w:ascii="Wingdings" w:hAnsi="Wingdings"/>
      </w:rPr>
    </w:lvl>
    <w:lvl w:ilvl="6">
      <w:numFmt w:val="bullet"/>
      <w:lvlText w:val=""/>
      <w:lvlJc w:val="left"/>
      <w:pPr>
        <w:ind w:left="5323" w:hanging="360"/>
      </w:pPr>
      <w:rPr>
        <w:rFonts w:ascii="Symbol" w:hAnsi="Symbol"/>
      </w:rPr>
    </w:lvl>
    <w:lvl w:ilvl="7">
      <w:numFmt w:val="bullet"/>
      <w:lvlText w:val="o"/>
      <w:lvlJc w:val="left"/>
      <w:pPr>
        <w:ind w:left="6043" w:hanging="360"/>
      </w:pPr>
      <w:rPr>
        <w:rFonts w:ascii="Courier New" w:hAnsi="Courier New" w:cs="Courier New"/>
      </w:rPr>
    </w:lvl>
    <w:lvl w:ilvl="8">
      <w:numFmt w:val="bullet"/>
      <w:lvlText w:val=""/>
      <w:lvlJc w:val="left"/>
      <w:pPr>
        <w:ind w:left="6763" w:hanging="360"/>
      </w:pPr>
      <w:rPr>
        <w:rFonts w:ascii="Wingdings" w:hAnsi="Wingdings"/>
      </w:rPr>
    </w:lvl>
  </w:abstractNum>
  <w:abstractNum w:abstractNumId="7">
    <w:nsid w:val="49946AE9"/>
    <w:multiLevelType w:val="multilevel"/>
    <w:tmpl w:val="6D9ED51A"/>
    <w:styleLink w:val="WWNum4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5B811C2B"/>
    <w:multiLevelType w:val="multilevel"/>
    <w:tmpl w:val="89225E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B7B7F09"/>
    <w:multiLevelType w:val="multilevel"/>
    <w:tmpl w:val="9EA21B04"/>
    <w:styleLink w:val="WWNum6"/>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0">
    <w:nsid w:val="7F384CA1"/>
    <w:multiLevelType w:val="multilevel"/>
    <w:tmpl w:val="E3860C58"/>
    <w:styleLink w:val="WWNum3"/>
    <w:lvl w:ilvl="0">
      <w:start w:val="1"/>
      <w:numFmt w:val="upperRoman"/>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num w:numId="1">
    <w:abstractNumId w:val="10"/>
  </w:num>
  <w:num w:numId="2">
    <w:abstractNumId w:val="7"/>
  </w:num>
  <w:num w:numId="3">
    <w:abstractNumId w:val="8"/>
  </w:num>
  <w:num w:numId="4">
    <w:abstractNumId w:val="4"/>
  </w:num>
  <w:num w:numId="5">
    <w:abstractNumId w:val="2"/>
  </w:num>
  <w:num w:numId="6">
    <w:abstractNumId w:val="1"/>
  </w:num>
  <w:num w:numId="7">
    <w:abstractNumId w:val="0"/>
  </w:num>
  <w:num w:numId="8">
    <w:abstractNumId w:val="3"/>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CB0"/>
    <w:rsid w:val="0004632F"/>
    <w:rsid w:val="0006029E"/>
    <w:rsid w:val="0008521A"/>
    <w:rsid w:val="000C5C45"/>
    <w:rsid w:val="000C6781"/>
    <w:rsid w:val="000C6DEC"/>
    <w:rsid w:val="000D1586"/>
    <w:rsid w:val="0010659C"/>
    <w:rsid w:val="001F5EA5"/>
    <w:rsid w:val="00212CFA"/>
    <w:rsid w:val="002327C5"/>
    <w:rsid w:val="002640F6"/>
    <w:rsid w:val="002A0DE4"/>
    <w:rsid w:val="002C2F2D"/>
    <w:rsid w:val="002D073C"/>
    <w:rsid w:val="002D2454"/>
    <w:rsid w:val="00350BC3"/>
    <w:rsid w:val="003A1A97"/>
    <w:rsid w:val="00413D89"/>
    <w:rsid w:val="00425C56"/>
    <w:rsid w:val="00453D9E"/>
    <w:rsid w:val="004F6412"/>
    <w:rsid w:val="00514BBD"/>
    <w:rsid w:val="00584339"/>
    <w:rsid w:val="005A03E6"/>
    <w:rsid w:val="006007DD"/>
    <w:rsid w:val="00666281"/>
    <w:rsid w:val="007049A5"/>
    <w:rsid w:val="00712D21"/>
    <w:rsid w:val="00724C66"/>
    <w:rsid w:val="007344C7"/>
    <w:rsid w:val="007501D9"/>
    <w:rsid w:val="00784A30"/>
    <w:rsid w:val="007A3BE7"/>
    <w:rsid w:val="007B73E7"/>
    <w:rsid w:val="007F3722"/>
    <w:rsid w:val="00840C52"/>
    <w:rsid w:val="00881CB0"/>
    <w:rsid w:val="008F27F1"/>
    <w:rsid w:val="00930981"/>
    <w:rsid w:val="009D7AD8"/>
    <w:rsid w:val="00A74CC2"/>
    <w:rsid w:val="00A77900"/>
    <w:rsid w:val="00AA4429"/>
    <w:rsid w:val="00AD5A56"/>
    <w:rsid w:val="00AE276F"/>
    <w:rsid w:val="00B123FF"/>
    <w:rsid w:val="00B96E8F"/>
    <w:rsid w:val="00B972E6"/>
    <w:rsid w:val="00BC773D"/>
    <w:rsid w:val="00BF1AC6"/>
    <w:rsid w:val="00C4142A"/>
    <w:rsid w:val="00CE5E44"/>
    <w:rsid w:val="00CF5CAD"/>
    <w:rsid w:val="00D23330"/>
    <w:rsid w:val="00D97C0A"/>
    <w:rsid w:val="00DD1372"/>
    <w:rsid w:val="00DF4AE8"/>
    <w:rsid w:val="00E060B4"/>
    <w:rsid w:val="00E139C2"/>
    <w:rsid w:val="00E210E8"/>
    <w:rsid w:val="00E456C1"/>
    <w:rsid w:val="00E76A6D"/>
    <w:rsid w:val="00EB03A0"/>
    <w:rsid w:val="00EB0B12"/>
    <w:rsid w:val="00ED1F26"/>
    <w:rsid w:val="00ED7B72"/>
    <w:rsid w:val="00EF65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881CB0"/>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881CB0"/>
    <w:pPr>
      <w:widowControl w:val="0"/>
      <w:suppressAutoHyphens/>
      <w:autoSpaceDN w:val="0"/>
      <w:textAlignment w:val="baseline"/>
    </w:pPr>
    <w:rPr>
      <w:rFonts w:ascii="Times New Roman" w:eastAsia="SimSun" w:hAnsi="Times New Roman" w:cs="Tahoma"/>
      <w:kern w:val="3"/>
      <w:sz w:val="24"/>
      <w:szCs w:val="24"/>
      <w:lang w:bidi="hi-IN"/>
    </w:rPr>
  </w:style>
  <w:style w:type="paragraph" w:styleId="Akapitzlist">
    <w:name w:val="List Paragraph"/>
    <w:basedOn w:val="Standard"/>
    <w:rsid w:val="00881CB0"/>
    <w:pPr>
      <w:ind w:left="720"/>
    </w:pPr>
  </w:style>
  <w:style w:type="numbering" w:customStyle="1" w:styleId="WWNum3">
    <w:name w:val="WWNum3"/>
    <w:basedOn w:val="Bezlisty"/>
    <w:rsid w:val="00881CB0"/>
    <w:pPr>
      <w:numPr>
        <w:numId w:val="1"/>
      </w:numPr>
    </w:pPr>
  </w:style>
  <w:style w:type="numbering" w:customStyle="1" w:styleId="WWNum48">
    <w:name w:val="WWNum48"/>
    <w:basedOn w:val="Bezlisty"/>
    <w:rsid w:val="00881CB0"/>
    <w:pPr>
      <w:numPr>
        <w:numId w:val="2"/>
      </w:numPr>
    </w:pPr>
  </w:style>
  <w:style w:type="paragraph" w:styleId="Tekstdymka">
    <w:name w:val="Balloon Text"/>
    <w:basedOn w:val="Normalny"/>
    <w:link w:val="TekstdymkaZnak"/>
    <w:uiPriority w:val="99"/>
    <w:semiHidden/>
    <w:unhideWhenUsed/>
    <w:rsid w:val="00881CB0"/>
    <w:rPr>
      <w:rFonts w:ascii="Tahoma" w:hAnsi="Tahoma"/>
      <w:sz w:val="16"/>
      <w:szCs w:val="14"/>
    </w:rPr>
  </w:style>
  <w:style w:type="character" w:customStyle="1" w:styleId="TekstdymkaZnak">
    <w:name w:val="Tekst dymka Znak"/>
    <w:basedOn w:val="Domylnaczcionkaakapitu"/>
    <w:link w:val="Tekstdymka"/>
    <w:uiPriority w:val="99"/>
    <w:semiHidden/>
    <w:rsid w:val="00881CB0"/>
    <w:rPr>
      <w:rFonts w:ascii="Tahoma" w:eastAsia="SimSun" w:hAnsi="Tahoma" w:cs="Mangal"/>
      <w:kern w:val="3"/>
      <w:sz w:val="16"/>
      <w:szCs w:val="14"/>
      <w:lang w:eastAsia="zh-CN" w:bidi="hi-IN"/>
    </w:rPr>
  </w:style>
  <w:style w:type="numbering" w:customStyle="1" w:styleId="WWNum2">
    <w:name w:val="WWNum2"/>
    <w:basedOn w:val="Bezlisty"/>
    <w:rsid w:val="00881CB0"/>
    <w:pPr>
      <w:numPr>
        <w:numId w:val="5"/>
      </w:numPr>
    </w:pPr>
  </w:style>
  <w:style w:type="numbering" w:customStyle="1" w:styleId="WWNum45">
    <w:name w:val="WWNum45"/>
    <w:basedOn w:val="Bezlisty"/>
    <w:rsid w:val="00881CB0"/>
    <w:pPr>
      <w:numPr>
        <w:numId w:val="6"/>
      </w:numPr>
    </w:pPr>
  </w:style>
  <w:style w:type="numbering" w:customStyle="1" w:styleId="WWNum4">
    <w:name w:val="WWNum4"/>
    <w:basedOn w:val="Bezlisty"/>
    <w:rsid w:val="00881CB0"/>
    <w:pPr>
      <w:numPr>
        <w:numId w:val="7"/>
      </w:numPr>
    </w:pPr>
  </w:style>
  <w:style w:type="numbering" w:customStyle="1" w:styleId="WWOutlineListStyle">
    <w:name w:val="WW_OutlineListStyle"/>
    <w:basedOn w:val="Bezlisty"/>
    <w:rsid w:val="00881CB0"/>
    <w:pPr>
      <w:numPr>
        <w:numId w:val="9"/>
      </w:numPr>
    </w:pPr>
  </w:style>
  <w:style w:type="numbering" w:customStyle="1" w:styleId="WWNum41">
    <w:name w:val="WWNum41"/>
    <w:basedOn w:val="Bezlisty"/>
    <w:rsid w:val="00881CB0"/>
  </w:style>
  <w:style w:type="numbering" w:customStyle="1" w:styleId="WWNum6">
    <w:name w:val="WWNum6"/>
    <w:basedOn w:val="Bezlisty"/>
    <w:rsid w:val="00881CB0"/>
    <w:pPr>
      <w:numPr>
        <w:numId w:val="10"/>
      </w:numPr>
    </w:pPr>
  </w:style>
  <w:style w:type="paragraph" w:styleId="Nagwek">
    <w:name w:val="header"/>
    <w:basedOn w:val="Normalny"/>
    <w:link w:val="NagwekZnak"/>
    <w:uiPriority w:val="99"/>
    <w:unhideWhenUsed/>
    <w:rsid w:val="0010659C"/>
    <w:pPr>
      <w:tabs>
        <w:tab w:val="center" w:pos="4536"/>
        <w:tab w:val="right" w:pos="9072"/>
      </w:tabs>
    </w:pPr>
    <w:rPr>
      <w:szCs w:val="21"/>
    </w:rPr>
  </w:style>
  <w:style w:type="character" w:customStyle="1" w:styleId="NagwekZnak">
    <w:name w:val="Nagłówek Znak"/>
    <w:basedOn w:val="Domylnaczcionkaakapitu"/>
    <w:link w:val="Nagwek"/>
    <w:uiPriority w:val="99"/>
    <w:rsid w:val="0010659C"/>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10659C"/>
    <w:pPr>
      <w:tabs>
        <w:tab w:val="center" w:pos="4536"/>
        <w:tab w:val="right" w:pos="9072"/>
      </w:tabs>
    </w:pPr>
    <w:rPr>
      <w:szCs w:val="21"/>
    </w:rPr>
  </w:style>
  <w:style w:type="character" w:customStyle="1" w:styleId="StopkaZnak">
    <w:name w:val="Stopka Znak"/>
    <w:basedOn w:val="Domylnaczcionkaakapitu"/>
    <w:link w:val="Stopka"/>
    <w:uiPriority w:val="99"/>
    <w:rsid w:val="0010659C"/>
    <w:rPr>
      <w:rFonts w:ascii="Times New Roman" w:eastAsia="SimSun" w:hAnsi="Times New Roman" w:cs="Mangal"/>
      <w:kern w:val="3"/>
      <w:sz w:val="24"/>
      <w:szCs w:val="21"/>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881CB0"/>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881CB0"/>
    <w:pPr>
      <w:widowControl w:val="0"/>
      <w:suppressAutoHyphens/>
      <w:autoSpaceDN w:val="0"/>
      <w:textAlignment w:val="baseline"/>
    </w:pPr>
    <w:rPr>
      <w:rFonts w:ascii="Times New Roman" w:eastAsia="SimSun" w:hAnsi="Times New Roman" w:cs="Tahoma"/>
      <w:kern w:val="3"/>
      <w:sz w:val="24"/>
      <w:szCs w:val="24"/>
      <w:lang w:bidi="hi-IN"/>
    </w:rPr>
  </w:style>
  <w:style w:type="paragraph" w:styleId="Akapitzlist">
    <w:name w:val="List Paragraph"/>
    <w:basedOn w:val="Standard"/>
    <w:rsid w:val="00881CB0"/>
    <w:pPr>
      <w:ind w:left="720"/>
    </w:pPr>
  </w:style>
  <w:style w:type="numbering" w:customStyle="1" w:styleId="WWNum3">
    <w:name w:val="WWNum3"/>
    <w:basedOn w:val="Bezlisty"/>
    <w:rsid w:val="00881CB0"/>
    <w:pPr>
      <w:numPr>
        <w:numId w:val="1"/>
      </w:numPr>
    </w:pPr>
  </w:style>
  <w:style w:type="numbering" w:customStyle="1" w:styleId="WWNum48">
    <w:name w:val="WWNum48"/>
    <w:basedOn w:val="Bezlisty"/>
    <w:rsid w:val="00881CB0"/>
    <w:pPr>
      <w:numPr>
        <w:numId w:val="2"/>
      </w:numPr>
    </w:pPr>
  </w:style>
  <w:style w:type="paragraph" w:styleId="Tekstdymka">
    <w:name w:val="Balloon Text"/>
    <w:basedOn w:val="Normalny"/>
    <w:link w:val="TekstdymkaZnak"/>
    <w:uiPriority w:val="99"/>
    <w:semiHidden/>
    <w:unhideWhenUsed/>
    <w:rsid w:val="00881CB0"/>
    <w:rPr>
      <w:rFonts w:ascii="Tahoma" w:hAnsi="Tahoma"/>
      <w:sz w:val="16"/>
      <w:szCs w:val="14"/>
    </w:rPr>
  </w:style>
  <w:style w:type="character" w:customStyle="1" w:styleId="TekstdymkaZnak">
    <w:name w:val="Tekst dymka Znak"/>
    <w:basedOn w:val="Domylnaczcionkaakapitu"/>
    <w:link w:val="Tekstdymka"/>
    <w:uiPriority w:val="99"/>
    <w:semiHidden/>
    <w:rsid w:val="00881CB0"/>
    <w:rPr>
      <w:rFonts w:ascii="Tahoma" w:eastAsia="SimSun" w:hAnsi="Tahoma" w:cs="Mangal"/>
      <w:kern w:val="3"/>
      <w:sz w:val="16"/>
      <w:szCs w:val="14"/>
      <w:lang w:eastAsia="zh-CN" w:bidi="hi-IN"/>
    </w:rPr>
  </w:style>
  <w:style w:type="numbering" w:customStyle="1" w:styleId="WWNum2">
    <w:name w:val="WWNum2"/>
    <w:basedOn w:val="Bezlisty"/>
    <w:rsid w:val="00881CB0"/>
    <w:pPr>
      <w:numPr>
        <w:numId w:val="5"/>
      </w:numPr>
    </w:pPr>
  </w:style>
  <w:style w:type="numbering" w:customStyle="1" w:styleId="WWNum45">
    <w:name w:val="WWNum45"/>
    <w:basedOn w:val="Bezlisty"/>
    <w:rsid w:val="00881CB0"/>
    <w:pPr>
      <w:numPr>
        <w:numId w:val="6"/>
      </w:numPr>
    </w:pPr>
  </w:style>
  <w:style w:type="numbering" w:customStyle="1" w:styleId="WWNum4">
    <w:name w:val="WWNum4"/>
    <w:basedOn w:val="Bezlisty"/>
    <w:rsid w:val="00881CB0"/>
    <w:pPr>
      <w:numPr>
        <w:numId w:val="7"/>
      </w:numPr>
    </w:pPr>
  </w:style>
  <w:style w:type="numbering" w:customStyle="1" w:styleId="WWOutlineListStyle">
    <w:name w:val="WW_OutlineListStyle"/>
    <w:basedOn w:val="Bezlisty"/>
    <w:rsid w:val="00881CB0"/>
    <w:pPr>
      <w:numPr>
        <w:numId w:val="9"/>
      </w:numPr>
    </w:pPr>
  </w:style>
  <w:style w:type="numbering" w:customStyle="1" w:styleId="WWNum41">
    <w:name w:val="WWNum41"/>
    <w:basedOn w:val="Bezlisty"/>
    <w:rsid w:val="00881CB0"/>
  </w:style>
  <w:style w:type="numbering" w:customStyle="1" w:styleId="WWNum6">
    <w:name w:val="WWNum6"/>
    <w:basedOn w:val="Bezlisty"/>
    <w:rsid w:val="00881CB0"/>
    <w:pPr>
      <w:numPr>
        <w:numId w:val="10"/>
      </w:numPr>
    </w:pPr>
  </w:style>
  <w:style w:type="paragraph" w:styleId="Nagwek">
    <w:name w:val="header"/>
    <w:basedOn w:val="Normalny"/>
    <w:link w:val="NagwekZnak"/>
    <w:uiPriority w:val="99"/>
    <w:unhideWhenUsed/>
    <w:rsid w:val="0010659C"/>
    <w:pPr>
      <w:tabs>
        <w:tab w:val="center" w:pos="4536"/>
        <w:tab w:val="right" w:pos="9072"/>
      </w:tabs>
    </w:pPr>
    <w:rPr>
      <w:szCs w:val="21"/>
    </w:rPr>
  </w:style>
  <w:style w:type="character" w:customStyle="1" w:styleId="NagwekZnak">
    <w:name w:val="Nagłówek Znak"/>
    <w:basedOn w:val="Domylnaczcionkaakapitu"/>
    <w:link w:val="Nagwek"/>
    <w:uiPriority w:val="99"/>
    <w:rsid w:val="0010659C"/>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10659C"/>
    <w:pPr>
      <w:tabs>
        <w:tab w:val="center" w:pos="4536"/>
        <w:tab w:val="right" w:pos="9072"/>
      </w:tabs>
    </w:pPr>
    <w:rPr>
      <w:szCs w:val="21"/>
    </w:rPr>
  </w:style>
  <w:style w:type="character" w:customStyle="1" w:styleId="StopkaZnak">
    <w:name w:val="Stopka Znak"/>
    <w:basedOn w:val="Domylnaczcionkaakapitu"/>
    <w:link w:val="Stopka"/>
    <w:uiPriority w:val="99"/>
    <w:rsid w:val="0010659C"/>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image" Target="media/image1.wmf"/><Relationship Id="rId10" Type="http://schemas.openxmlformats.org/officeDocument/2006/relationships/chart" Target="charts/chart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oleObject" Target="../embeddings/oleObject2.bin"/></Relationships>
</file>

<file path=word/charts/_rels/chart4.xml.rels><?xml version="1.0" encoding="UTF-8" standalone="yes"?>
<Relationships xmlns="http://schemas.openxmlformats.org/package/2006/relationships"><Relationship Id="rId1" Type="http://schemas.openxmlformats.org/officeDocument/2006/relationships/oleObject" Target="../embeddings/oleObject3.bin"/></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6.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pl-PL" sz="1199" b="1" i="0" u="none" strike="noStrike" kern="1200" baseline="0">
                <a:solidFill>
                  <a:srgbClr val="000000"/>
                </a:solidFill>
                <a:latin typeface="Garamond" pitchFamily="18"/>
              </a:defRPr>
            </a:pPr>
            <a:r>
              <a:rPr lang="pl-PL" sz="1199" b="1" i="0" u="none" strike="noStrike" kern="1200" cap="none" spc="0" baseline="0">
                <a:solidFill>
                  <a:srgbClr val="000000"/>
                </a:solidFill>
                <a:uFillTx/>
                <a:latin typeface="Garamond" pitchFamily="18"/>
                <a:ea typeface="+mn-ea"/>
                <a:cs typeface="+mn-cs"/>
              </a:rPr>
              <a:t>Wpływ skarg i wniosków do Ministerstwa Sprawiedliwości w latach     2010-2016 ilustruje poniższy wykres</a:t>
            </a:r>
          </a:p>
        </c:rich>
      </c:tx>
      <c:overlay val="0"/>
      <c:spPr>
        <a:noFill/>
        <a:ln>
          <a:noFill/>
        </a:ln>
      </c:spPr>
    </c:title>
    <c:autoTitleDeleted val="0"/>
    <c:plotArea>
      <c:layout/>
      <c:barChart>
        <c:barDir val="col"/>
        <c:grouping val="clustered"/>
        <c:varyColors val="0"/>
        <c:ser>
          <c:idx val="0"/>
          <c:order val="0"/>
          <c:tx>
            <c:v>Seria 1</c:v>
          </c:tx>
          <c:spPr>
            <a:solidFill>
              <a:srgbClr val="4F81BD"/>
            </a:solidFill>
            <a:ln>
              <a:noFill/>
            </a:ln>
          </c:spPr>
          <c:invertIfNegative val="0"/>
          <c:dPt>
            <c:idx val="7"/>
            <c:invertIfNegative val="0"/>
            <c:bubble3D val="0"/>
          </c:dPt>
          <c:dLbls>
            <c:dLbl>
              <c:idx val="0"/>
              <c:layout>
                <c:manualLayout>
                  <c:x val="2.2909507445589921E-3"/>
                  <c:y val="1.4669926650366748E-2"/>
                </c:manualLayout>
              </c:layout>
              <c:showLegendKey val="0"/>
              <c:showVal val="1"/>
              <c:showCatName val="0"/>
              <c:showSerName val="0"/>
              <c:showPercent val="0"/>
              <c:showBubbleSize val="0"/>
            </c:dLbl>
            <c:dLbl>
              <c:idx val="1"/>
              <c:layout>
                <c:manualLayout>
                  <c:x val="0"/>
                  <c:y val="1.4669926650366748E-2"/>
                </c:manualLayout>
              </c:layout>
              <c:showLegendKey val="0"/>
              <c:showVal val="1"/>
              <c:showCatName val="0"/>
              <c:showSerName val="0"/>
              <c:showPercent val="0"/>
              <c:showBubbleSize val="0"/>
            </c:dLbl>
            <c:dLbl>
              <c:idx val="3"/>
              <c:layout>
                <c:manualLayout>
                  <c:x val="0"/>
                  <c:y val="-1.9559902200488997E-2"/>
                </c:manualLayout>
              </c:layout>
              <c:showLegendKey val="0"/>
              <c:showVal val="1"/>
              <c:showCatName val="0"/>
              <c:showSerName val="0"/>
              <c:showPercent val="0"/>
              <c:showBubbleSize val="0"/>
            </c:dLbl>
            <c:dLbl>
              <c:idx val="4"/>
              <c:layout>
                <c:manualLayout>
                  <c:x val="0"/>
                  <c:y val="-1.4669926650366748E-2"/>
                </c:manualLayout>
              </c:layout>
              <c:showLegendKey val="0"/>
              <c:showVal val="1"/>
              <c:showCatName val="0"/>
              <c:showSerName val="0"/>
              <c:showPercent val="0"/>
              <c:showBubbleSize val="0"/>
            </c:dLbl>
            <c:dLbl>
              <c:idx val="7"/>
              <c:delete val="1"/>
            </c:dLbl>
            <c:txPr>
              <a:bodyPr lIns="0" tIns="0" rIns="0" bIns="0"/>
              <a:lstStyle/>
              <a:p>
                <a:pPr marL="0" marR="0" indent="0" algn="ctr" defTabSz="914400" fontAlgn="auto" hangingPunct="1">
                  <a:lnSpc>
                    <a:spcPct val="100000"/>
                  </a:lnSpc>
                  <a:spcBef>
                    <a:spcPts val="0"/>
                  </a:spcBef>
                  <a:spcAft>
                    <a:spcPts val="0"/>
                  </a:spcAft>
                  <a:tabLst/>
                  <a:defRPr lang="pl-PL" sz="1000" b="1" i="0" u="none" strike="noStrike" kern="1200" baseline="0">
                    <a:solidFill>
                      <a:srgbClr val="000000"/>
                    </a:solidFill>
                    <a:latin typeface="Calibri"/>
                  </a:defRPr>
                </a:pPr>
                <a:endParaRPr lang="pl-PL"/>
              </a:p>
            </c:txPr>
            <c:showLegendKey val="0"/>
            <c:showVal val="1"/>
            <c:showCatName val="0"/>
            <c:showSerName val="0"/>
            <c:showPercent val="0"/>
            <c:showBubbleSize val="0"/>
            <c:showLeaderLines val="0"/>
          </c:dLbls>
          <c:cat>
            <c:strLit>
              <c:ptCount val="8"/>
              <c:pt idx="0">
                <c:v>Rok 2010</c:v>
              </c:pt>
              <c:pt idx="1">
                <c:v>Rok 2011</c:v>
              </c:pt>
              <c:pt idx="2">
                <c:v>Rok 2012</c:v>
              </c:pt>
              <c:pt idx="3">
                <c:v>Rok 2013</c:v>
              </c:pt>
              <c:pt idx="4">
                <c:v>Rok 2014</c:v>
              </c:pt>
              <c:pt idx="5">
                <c:v>Rok 2015</c:v>
              </c:pt>
              <c:pt idx="6">
                <c:v>Rok 2016</c:v>
              </c:pt>
            </c:strLit>
          </c:cat>
          <c:val>
            <c:numLit>
              <c:formatCode>General</c:formatCode>
              <c:ptCount val="8"/>
              <c:pt idx="0">
                <c:v>33521</c:v>
              </c:pt>
              <c:pt idx="1">
                <c:v>29242</c:v>
              </c:pt>
              <c:pt idx="2">
                <c:v>27904</c:v>
              </c:pt>
              <c:pt idx="3">
                <c:v>26169</c:v>
              </c:pt>
              <c:pt idx="4">
                <c:v>26483</c:v>
              </c:pt>
              <c:pt idx="5">
                <c:v>27474</c:v>
              </c:pt>
              <c:pt idx="6">
                <c:v>48245</c:v>
              </c:pt>
              <c:pt idx="7">
                <c:v>0</c:v>
              </c:pt>
            </c:numLit>
          </c:val>
        </c:ser>
        <c:ser>
          <c:idx val="1"/>
          <c:order val="1"/>
          <c:tx>
            <c:v>Kolumna1</c:v>
          </c:tx>
          <c:spPr>
            <a:solidFill>
              <a:srgbClr val="C0504D"/>
            </a:solidFill>
            <a:ln>
              <a:noFill/>
            </a:ln>
          </c:spPr>
          <c:invertIfNegative val="0"/>
          <c:cat>
            <c:strLit>
              <c:ptCount val="8"/>
              <c:pt idx="0">
                <c:v>Rok 2010</c:v>
              </c:pt>
              <c:pt idx="1">
                <c:v>Rok 2011</c:v>
              </c:pt>
              <c:pt idx="2">
                <c:v>Rok 2012</c:v>
              </c:pt>
              <c:pt idx="3">
                <c:v>Rok 2013</c:v>
              </c:pt>
              <c:pt idx="4">
                <c:v>Rok 2014</c:v>
              </c:pt>
              <c:pt idx="5">
                <c:v>Rok 2015</c:v>
              </c:pt>
              <c:pt idx="6">
                <c:v>Rok 2016</c:v>
              </c:pt>
            </c:strLit>
          </c:cat>
          <c:val>
            <c:numLit>
              <c:formatCode>General</c:formatCode>
              <c:ptCount val="8"/>
              <c:pt idx="0">
                <c:v>0</c:v>
              </c:pt>
              <c:pt idx="1">
                <c:v>0</c:v>
              </c:pt>
              <c:pt idx="2">
                <c:v>0</c:v>
              </c:pt>
              <c:pt idx="3">
                <c:v>0</c:v>
              </c:pt>
              <c:pt idx="4">
                <c:v>0</c:v>
              </c:pt>
              <c:pt idx="5">
                <c:v>0</c:v>
              </c:pt>
              <c:pt idx="6">
                <c:v>0</c:v>
              </c:pt>
              <c:pt idx="7">
                <c:v>0</c:v>
              </c:pt>
            </c:numLit>
          </c:val>
        </c:ser>
        <c:ser>
          <c:idx val="2"/>
          <c:order val="2"/>
          <c:tx>
            <c:v>Kolumna2</c:v>
          </c:tx>
          <c:spPr>
            <a:solidFill>
              <a:srgbClr val="9BBB59"/>
            </a:solidFill>
            <a:ln>
              <a:noFill/>
            </a:ln>
          </c:spPr>
          <c:invertIfNegative val="0"/>
          <c:cat>
            <c:strLit>
              <c:ptCount val="8"/>
              <c:pt idx="0">
                <c:v>Rok 2010</c:v>
              </c:pt>
              <c:pt idx="1">
                <c:v>Rok 2011</c:v>
              </c:pt>
              <c:pt idx="2">
                <c:v>Rok 2012</c:v>
              </c:pt>
              <c:pt idx="3">
                <c:v>Rok 2013</c:v>
              </c:pt>
              <c:pt idx="4">
                <c:v>Rok 2014</c:v>
              </c:pt>
              <c:pt idx="5">
                <c:v>Rok 2015</c:v>
              </c:pt>
              <c:pt idx="6">
                <c:v>Rok 2016</c:v>
              </c:pt>
            </c:strLit>
          </c:cat>
          <c:val>
            <c:numLit>
              <c:formatCode>General</c:formatCode>
              <c:ptCount val="8"/>
              <c:pt idx="0">
                <c:v>0</c:v>
              </c:pt>
              <c:pt idx="1">
                <c:v>0</c:v>
              </c:pt>
              <c:pt idx="2">
                <c:v>0</c:v>
              </c:pt>
              <c:pt idx="3">
                <c:v>0</c:v>
              </c:pt>
              <c:pt idx="4">
                <c:v>0</c:v>
              </c:pt>
              <c:pt idx="5">
                <c:v>0</c:v>
              </c:pt>
              <c:pt idx="6">
                <c:v>0</c:v>
              </c:pt>
              <c:pt idx="7">
                <c:v>0</c:v>
              </c:pt>
            </c:numLit>
          </c:val>
        </c:ser>
        <c:dLbls>
          <c:showLegendKey val="0"/>
          <c:showVal val="0"/>
          <c:showCatName val="0"/>
          <c:showSerName val="0"/>
          <c:showPercent val="0"/>
          <c:showBubbleSize val="0"/>
        </c:dLbls>
        <c:gapWidth val="150"/>
        <c:axId val="181048064"/>
        <c:axId val="181029888"/>
      </c:barChart>
      <c:valAx>
        <c:axId val="181029888"/>
        <c:scaling>
          <c:orientation val="minMax"/>
        </c:scaling>
        <c:delete val="0"/>
        <c:axPos val="l"/>
        <c:majorGridlines>
          <c:spPr>
            <a:ln w="9528">
              <a:solidFill>
                <a:srgbClr val="868686"/>
              </a:solidFill>
              <a:prstDash val="solid"/>
              <a:round/>
            </a:ln>
          </c:spPr>
        </c:majorGridlines>
        <c:numFmt formatCode="General" sourceLinked="0"/>
        <c:majorTickMark val="out"/>
        <c:minorTickMark val="none"/>
        <c:tickLblPos val="nextTo"/>
        <c:spPr>
          <a:no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81048064"/>
        <c:crosses val="autoZero"/>
        <c:crossBetween val="between"/>
      </c:valAx>
      <c:catAx>
        <c:axId val="181048064"/>
        <c:scaling>
          <c:orientation val="minMax"/>
        </c:scaling>
        <c:delete val="0"/>
        <c:axPos val="b"/>
        <c:numFmt formatCode="General" sourceLinked="0"/>
        <c:majorTickMark val="out"/>
        <c:minorTickMark val="none"/>
        <c:tickLblPos val="nextTo"/>
        <c:spPr>
          <a:no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81029888"/>
        <c:crosses val="autoZero"/>
        <c:auto val="1"/>
        <c:lblAlgn val="ctr"/>
        <c:lblOffset val="100"/>
        <c:noMultiLvlLbl val="0"/>
      </c:catAx>
      <c:spPr>
        <a:noFill/>
        <a:ln>
          <a:noFill/>
        </a:ln>
      </c:spPr>
    </c:plotArea>
    <c:plotVisOnly val="1"/>
    <c:dispBlanksAs val="gap"/>
    <c:showDLblsOverMax val="0"/>
  </c:chart>
  <c:spPr>
    <a:solidFill>
      <a:srgbClr val="FFFFFF"/>
    </a:solid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lIns="0" tIns="0" rIns="0" bIns="0"/>
          <a:lstStyle/>
          <a:p>
            <a:pPr marL="0" marR="0" indent="0" algn="ctr" defTabSz="914400" fontAlgn="auto" hangingPunct="1">
              <a:lnSpc>
                <a:spcPct val="100000"/>
              </a:lnSpc>
              <a:spcBef>
                <a:spcPts val="0"/>
              </a:spcBef>
              <a:spcAft>
                <a:spcPts val="0"/>
              </a:spcAft>
              <a:tabLst/>
              <a:defRPr lang="pl-PL" sz="1200" b="0" i="0" u="none" strike="noStrike" kern="1200" baseline="0">
                <a:solidFill>
                  <a:srgbClr val="000000"/>
                </a:solidFill>
                <a:latin typeface="Calibri"/>
              </a:defRPr>
            </a:pPr>
            <a:r>
              <a:rPr lang="pl-PL" sz="1200" b="0" i="0" u="none" strike="noStrike" kern="1200" cap="none" spc="0" baseline="0">
                <a:solidFill>
                  <a:srgbClr val="000000"/>
                </a:solidFill>
                <a:uFillTx/>
                <a:latin typeface="Calibri"/>
                <a:ea typeface="+mn-ea"/>
                <a:cs typeface="+mn-cs"/>
              </a:rPr>
              <a:t>Liczba skarg i wniosków rozpatrzonych w 2016 r. w rozbiciu na grupy problemowe</a:t>
            </a:r>
            <a:br>
              <a:rPr lang="pl-PL" sz="1200" b="0" i="0" u="none" strike="noStrike" kern="1200" cap="none" spc="0" baseline="0">
                <a:solidFill>
                  <a:srgbClr val="000000"/>
                </a:solidFill>
                <a:uFillTx/>
                <a:latin typeface="Calibri"/>
                <a:ea typeface="+mn-ea"/>
                <a:cs typeface="+mn-cs"/>
              </a:rPr>
            </a:br>
            <a:endParaRPr lang="pl-PL" sz="1200" b="0" i="0" u="none" strike="noStrike" kern="1200" cap="none" spc="0" baseline="0">
              <a:solidFill>
                <a:srgbClr val="000000"/>
              </a:solidFill>
              <a:uFillTx/>
              <a:latin typeface="Calibri"/>
              <a:ea typeface="+mn-ea"/>
              <a:cs typeface="+mn-cs"/>
            </a:endParaRPr>
          </a:p>
        </c:rich>
      </c:tx>
      <c:overlay val="0"/>
      <c:spPr>
        <a:noFill/>
        <a:ln>
          <a:noFill/>
        </a:ln>
      </c:spPr>
    </c:title>
    <c:autoTitleDeleted val="0"/>
    <c:view3D>
      <c:rotX val="0"/>
      <c:rotY val="0"/>
      <c:rAngAx val="0"/>
      <c:perspective val="0"/>
    </c:view3D>
    <c:floor>
      <c:thickness val="0"/>
      <c:spPr>
        <a:noFill/>
        <a:ln w="9528">
          <a:solidFill>
            <a:srgbClr val="868686"/>
          </a:solidFill>
          <a:prstDash val="solid"/>
          <a:round/>
        </a:ln>
      </c:spPr>
    </c:floor>
    <c:sideWall>
      <c:thickness val="0"/>
      <c:spPr>
        <a:noFill/>
        <a:ln>
          <a:noFill/>
        </a:ln>
      </c:spPr>
    </c:sideWall>
    <c:backWall>
      <c:thickness val="0"/>
      <c:spPr>
        <a:noFill/>
        <a:ln>
          <a:noFill/>
        </a:ln>
      </c:spPr>
    </c:backWall>
    <c:plotArea>
      <c:layout>
        <c:manualLayout>
          <c:xMode val="edge"/>
          <c:yMode val="edge"/>
          <c:x val="0"/>
          <c:y val="8.3105616375611049E-2"/>
          <c:w val="0.99088941113482087"/>
          <c:h val="0.84289269059831184"/>
        </c:manualLayout>
      </c:layout>
      <c:bar3DChart>
        <c:barDir val="col"/>
        <c:grouping val="clustered"/>
        <c:varyColors val="0"/>
        <c:ser>
          <c:idx val="0"/>
          <c:order val="0"/>
          <c:tx>
            <c:v>skargi</c:v>
          </c:tx>
          <c:spPr>
            <a:solidFill>
              <a:srgbClr val="4F81BD"/>
            </a:solidFill>
            <a:ln>
              <a:noFill/>
            </a:ln>
          </c:spPr>
          <c:invertIfNegative val="0"/>
          <c:dPt>
            <c:idx val="0"/>
            <c:invertIfNegative val="0"/>
            <c:bubble3D val="0"/>
          </c:dPt>
          <c:dPt>
            <c:idx val="1"/>
            <c:invertIfNegative val="0"/>
            <c:bubble3D val="0"/>
          </c:dPt>
          <c:dPt>
            <c:idx val="3"/>
            <c:invertIfNegative val="0"/>
            <c:bubble3D val="0"/>
          </c:dPt>
          <c:dPt>
            <c:idx val="4"/>
            <c:invertIfNegative val="0"/>
            <c:bubble3D val="0"/>
          </c:dPt>
          <c:dPt>
            <c:idx val="5"/>
            <c:invertIfNegative val="0"/>
            <c:bubble3D val="0"/>
          </c:dPt>
          <c:dPt>
            <c:idx val="17"/>
            <c:invertIfNegative val="0"/>
            <c:bubble3D val="0"/>
          </c:dPt>
          <c:dLbls>
            <c:dLbl>
              <c:idx val="0"/>
              <c:layout>
                <c:manualLayout>
                  <c:x val="6.5388640145472013E-3"/>
                  <c:y val="0"/>
                </c:manualLayout>
              </c:layout>
              <c:showLegendKey val="0"/>
              <c:showVal val="1"/>
              <c:showCatName val="0"/>
              <c:showSerName val="0"/>
              <c:showPercent val="0"/>
              <c:showBubbleSize val="0"/>
            </c:dLbl>
            <c:dLbl>
              <c:idx val="1"/>
              <c:layout>
                <c:manualLayout>
                  <c:x val="4.3572984749455342E-3"/>
                  <c:y val="0"/>
                </c:manualLayout>
              </c:layout>
              <c:showLegendKey val="0"/>
              <c:showVal val="1"/>
              <c:showCatName val="0"/>
              <c:showSerName val="0"/>
              <c:showPercent val="0"/>
              <c:showBubbleSize val="0"/>
            </c:dLbl>
            <c:dLbl>
              <c:idx val="2"/>
              <c:layout>
                <c:manualLayout>
                  <c:x val="0"/>
                  <c:y val="1.2406947890818905E-2"/>
                </c:manualLayout>
              </c:layout>
              <c:showLegendKey val="0"/>
              <c:showVal val="1"/>
              <c:showCatName val="0"/>
              <c:showSerName val="0"/>
              <c:showPercent val="0"/>
              <c:showBubbleSize val="0"/>
            </c:dLbl>
            <c:dLbl>
              <c:idx val="3"/>
              <c:layout>
                <c:manualLayout>
                  <c:x val="-2.1786492374727671E-3"/>
                  <c:y val="1.2406947890818859E-2"/>
                </c:manualLayout>
              </c:layout>
              <c:showLegendKey val="0"/>
              <c:showVal val="1"/>
              <c:showCatName val="0"/>
              <c:showSerName val="0"/>
              <c:showPercent val="0"/>
              <c:showBubbleSize val="0"/>
            </c:dLbl>
            <c:dLbl>
              <c:idx val="4"/>
              <c:layout>
                <c:manualLayout>
                  <c:x val="-2.1786492374727268E-3"/>
                  <c:y val="9.9255583126550868E-3"/>
                </c:manualLayout>
              </c:layout>
              <c:showLegendKey val="0"/>
              <c:showVal val="1"/>
              <c:showCatName val="0"/>
              <c:showSerName val="0"/>
              <c:showPercent val="0"/>
              <c:showBubbleSize val="0"/>
            </c:dLbl>
            <c:dLbl>
              <c:idx val="5"/>
              <c:layout>
                <c:manualLayout>
                  <c:x val="2.1786492374727671E-3"/>
                  <c:y val="4.9627791563275434E-3"/>
                </c:manualLayout>
              </c:layout>
              <c:showLegendKey val="0"/>
              <c:showVal val="1"/>
              <c:showCatName val="0"/>
              <c:showSerName val="0"/>
              <c:showPercent val="0"/>
              <c:showBubbleSize val="0"/>
            </c:dLbl>
            <c:dLbl>
              <c:idx val="17"/>
              <c:layout>
                <c:manualLayout>
                  <c:x val="0"/>
                  <c:y val="7.4441687344913151E-3"/>
                </c:manualLayout>
              </c:layout>
              <c:showLegendKey val="0"/>
              <c:showVal val="1"/>
              <c:showCatName val="0"/>
              <c:showSerName val="0"/>
              <c:showPercent val="0"/>
              <c:showBubbleSize val="0"/>
            </c:dLbl>
            <c:dLbl>
              <c:idx val="18"/>
              <c:layout>
                <c:manualLayout>
                  <c:x val="2.1786492374727671E-3"/>
                  <c:y val="1.2406947890818859E-2"/>
                </c:manualLayout>
              </c:layout>
              <c:showLegendKey val="0"/>
              <c:showVal val="1"/>
              <c:showCatName val="0"/>
              <c:showSerName val="0"/>
              <c:showPercent val="0"/>
              <c:showBubbleSize val="0"/>
            </c:dLbl>
            <c:numFmt formatCode="General" sourceLinked="0"/>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showLegendKey val="0"/>
            <c:showVal val="1"/>
            <c:showCatName val="0"/>
            <c:showSerName val="0"/>
            <c:showPercent val="0"/>
            <c:showBubbleSize val="0"/>
            <c:showLeaderLines val="0"/>
          </c:dLbls>
          <c:cat>
            <c:strLit>
              <c:ptCount val="19"/>
              <c:pt idx="0">
                <c:v>przewlekłość postępowań</c:v>
              </c:pt>
              <c:pt idx="1">
                <c:v>kultura urzędowania</c:v>
              </c:pt>
              <c:pt idx="2">
                <c:v>treść orzeczeń</c:v>
              </c:pt>
              <c:pt idx="3">
                <c:v>wykonanie orzeczeń</c:v>
              </c:pt>
              <c:pt idx="4">
                <c:v>czynności administracyjne kierowników jednostek</c:v>
              </c:pt>
              <c:pt idx="5">
                <c:v>czynności komorników</c:v>
              </c:pt>
              <c:pt idx="6">
                <c:v>czynności notariuszy</c:v>
              </c:pt>
              <c:pt idx="7">
                <c:v>czynności adwokatów</c:v>
              </c:pt>
              <c:pt idx="8">
                <c:v>czynności radców prawnych</c:v>
              </c:pt>
              <c:pt idx="9">
                <c:v>czynności tłumaczy przysięgłych</c:v>
              </c:pt>
              <c:pt idx="10">
                <c:v>czynności biegłych sądowych</c:v>
              </c:pt>
              <c:pt idx="11">
                <c:v>czynności syndyków</c:v>
              </c:pt>
              <c:pt idx="12">
                <c:v>czynności doradców podatkowych</c:v>
              </c:pt>
              <c:pt idx="13">
                <c:v>czynności biegłych rewidentów</c:v>
              </c:pt>
              <c:pt idx="14">
                <c:v>czynności rzeczników patentowych</c:v>
              </c:pt>
              <c:pt idx="15">
                <c:v>działalność zakładów poprawczych i schronisk dla nieletnich</c:v>
              </c:pt>
              <c:pt idx="16">
                <c:v>pracownicze</c:v>
              </c:pt>
              <c:pt idx="17">
                <c:v>inne</c:v>
              </c:pt>
              <c:pt idx="18">
                <c:v>wnioski</c:v>
              </c:pt>
            </c:strLit>
          </c:cat>
          <c:val>
            <c:numLit>
              <c:formatCode>General</c:formatCode>
              <c:ptCount val="19"/>
              <c:pt idx="0">
                <c:v>814</c:v>
              </c:pt>
              <c:pt idx="1">
                <c:v>150</c:v>
              </c:pt>
              <c:pt idx="2">
                <c:v>5951</c:v>
              </c:pt>
              <c:pt idx="3">
                <c:v>904</c:v>
              </c:pt>
              <c:pt idx="4">
                <c:v>1673</c:v>
              </c:pt>
              <c:pt idx="5">
                <c:v>2568</c:v>
              </c:pt>
              <c:pt idx="6">
                <c:v>207</c:v>
              </c:pt>
              <c:pt idx="7">
                <c:v>707</c:v>
              </c:pt>
              <c:pt idx="8">
                <c:v>309</c:v>
              </c:pt>
              <c:pt idx="9">
                <c:v>37</c:v>
              </c:pt>
              <c:pt idx="10">
                <c:v>205</c:v>
              </c:pt>
              <c:pt idx="11">
                <c:v>97</c:v>
              </c:pt>
              <c:pt idx="12">
                <c:v>0</c:v>
              </c:pt>
              <c:pt idx="13">
                <c:v>0</c:v>
              </c:pt>
              <c:pt idx="14">
                <c:v>1</c:v>
              </c:pt>
              <c:pt idx="15">
                <c:v>11</c:v>
              </c:pt>
              <c:pt idx="16">
                <c:v>69</c:v>
              </c:pt>
              <c:pt idx="17">
                <c:v>27275</c:v>
              </c:pt>
              <c:pt idx="18">
                <c:v>1798</c:v>
              </c:pt>
            </c:numLit>
          </c:val>
          <c:shape val="cylinder"/>
        </c:ser>
        <c:ser>
          <c:idx val="1"/>
          <c:order val="1"/>
          <c:tx>
            <c:v>Kolumna1</c:v>
          </c:tx>
          <c:spPr>
            <a:solidFill>
              <a:srgbClr val="C0504D"/>
            </a:solidFill>
            <a:ln>
              <a:noFill/>
            </a:ln>
          </c:spPr>
          <c:invertIfNegative val="0"/>
          <c:cat>
            <c:strLit>
              <c:ptCount val="19"/>
              <c:pt idx="0">
                <c:v>przewlekłość postępowań</c:v>
              </c:pt>
              <c:pt idx="1">
                <c:v>kultura urzędowania</c:v>
              </c:pt>
              <c:pt idx="2">
                <c:v>treść orzeczeń</c:v>
              </c:pt>
              <c:pt idx="3">
                <c:v>wykonanie orzeczeń</c:v>
              </c:pt>
              <c:pt idx="4">
                <c:v>czynności administracyjne kierowników jednostek</c:v>
              </c:pt>
              <c:pt idx="5">
                <c:v>czynności komorników</c:v>
              </c:pt>
              <c:pt idx="6">
                <c:v>czynności notariuszy</c:v>
              </c:pt>
              <c:pt idx="7">
                <c:v>czynności adwokatów</c:v>
              </c:pt>
              <c:pt idx="8">
                <c:v>czynności radców prawnych</c:v>
              </c:pt>
              <c:pt idx="9">
                <c:v>czynności tłumaczy przysięgłych</c:v>
              </c:pt>
              <c:pt idx="10">
                <c:v>czynności biegłych sądowych</c:v>
              </c:pt>
              <c:pt idx="11">
                <c:v>czynności syndyków</c:v>
              </c:pt>
              <c:pt idx="12">
                <c:v>czynności doradców podatkowych</c:v>
              </c:pt>
              <c:pt idx="13">
                <c:v>czynności biegłych rewidentów</c:v>
              </c:pt>
              <c:pt idx="14">
                <c:v>czynności rzeczników patentowych</c:v>
              </c:pt>
              <c:pt idx="15">
                <c:v>działalność zakładów poprawczych i schronisk dla nieletnich</c:v>
              </c:pt>
              <c:pt idx="16">
                <c:v>pracownicze</c:v>
              </c:pt>
              <c:pt idx="17">
                <c:v>inne</c:v>
              </c:pt>
              <c:pt idx="18">
                <c:v>wnioski</c:v>
              </c:pt>
            </c:strLit>
          </c:cat>
          <c:val>
            <c:numLit>
              <c:formatCode>General</c:formatCode>
              <c:ptCount val="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numLit>
          </c:val>
          <c:shape val="cylinder"/>
        </c:ser>
        <c:ser>
          <c:idx val="2"/>
          <c:order val="2"/>
          <c:tx>
            <c:v>Kolumna2</c:v>
          </c:tx>
          <c:spPr>
            <a:solidFill>
              <a:srgbClr val="9BBB59"/>
            </a:solidFill>
            <a:ln>
              <a:noFill/>
            </a:ln>
          </c:spPr>
          <c:invertIfNegative val="0"/>
          <c:cat>
            <c:strLit>
              <c:ptCount val="19"/>
              <c:pt idx="0">
                <c:v>przewlekłość postępowań</c:v>
              </c:pt>
              <c:pt idx="1">
                <c:v>kultura urzędowania</c:v>
              </c:pt>
              <c:pt idx="2">
                <c:v>treść orzeczeń</c:v>
              </c:pt>
              <c:pt idx="3">
                <c:v>wykonanie orzeczeń</c:v>
              </c:pt>
              <c:pt idx="4">
                <c:v>czynności administracyjne kierowników jednostek</c:v>
              </c:pt>
              <c:pt idx="5">
                <c:v>czynności komorników</c:v>
              </c:pt>
              <c:pt idx="6">
                <c:v>czynności notariuszy</c:v>
              </c:pt>
              <c:pt idx="7">
                <c:v>czynności adwokatów</c:v>
              </c:pt>
              <c:pt idx="8">
                <c:v>czynności radców prawnych</c:v>
              </c:pt>
              <c:pt idx="9">
                <c:v>czynności tłumaczy przysięgłych</c:v>
              </c:pt>
              <c:pt idx="10">
                <c:v>czynności biegłych sądowych</c:v>
              </c:pt>
              <c:pt idx="11">
                <c:v>czynności syndyków</c:v>
              </c:pt>
              <c:pt idx="12">
                <c:v>czynności doradców podatkowych</c:v>
              </c:pt>
              <c:pt idx="13">
                <c:v>czynności biegłych rewidentów</c:v>
              </c:pt>
              <c:pt idx="14">
                <c:v>czynności rzeczników patentowych</c:v>
              </c:pt>
              <c:pt idx="15">
                <c:v>działalność zakładów poprawczych i schronisk dla nieletnich</c:v>
              </c:pt>
              <c:pt idx="16">
                <c:v>pracownicze</c:v>
              </c:pt>
              <c:pt idx="17">
                <c:v>inne</c:v>
              </c:pt>
              <c:pt idx="18">
                <c:v>wnioski</c:v>
              </c:pt>
            </c:strLit>
          </c:cat>
          <c:val>
            <c:numLit>
              <c:formatCode>General</c:formatCode>
              <c:ptCount val="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numLit>
          </c:val>
          <c:shape val="cylinder"/>
        </c:ser>
        <c:dLbls>
          <c:showLegendKey val="0"/>
          <c:showVal val="0"/>
          <c:showCatName val="0"/>
          <c:showSerName val="0"/>
          <c:showPercent val="0"/>
          <c:showBubbleSize val="0"/>
        </c:dLbls>
        <c:gapWidth val="150"/>
        <c:shape val="box"/>
        <c:axId val="181248000"/>
        <c:axId val="181233920"/>
        <c:axId val="0"/>
      </c:bar3DChart>
      <c:valAx>
        <c:axId val="181233920"/>
        <c:scaling>
          <c:orientation val="minMax"/>
        </c:scaling>
        <c:delete val="0"/>
        <c:axPos val="l"/>
        <c:majorGridlines>
          <c:spPr>
            <a:ln w="9528">
              <a:solidFill>
                <a:srgbClr val="868686"/>
              </a:solidFill>
              <a:prstDash val="solid"/>
              <a:round/>
            </a:ln>
          </c:spPr>
        </c:majorGridlines>
        <c:numFmt formatCode="General" sourceLinked="0"/>
        <c:majorTickMark val="out"/>
        <c:minorTickMark val="none"/>
        <c:tickLblPos val="nextTo"/>
        <c:spPr>
          <a:no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81248000"/>
        <c:crosses val="autoZero"/>
        <c:crossBetween val="between"/>
      </c:valAx>
      <c:catAx>
        <c:axId val="181248000"/>
        <c:scaling>
          <c:orientation val="minMax"/>
        </c:scaling>
        <c:delete val="0"/>
        <c:axPos val="b"/>
        <c:numFmt formatCode="General" sourceLinked="0"/>
        <c:majorTickMark val="out"/>
        <c:minorTickMark val="none"/>
        <c:tickLblPos val="nextTo"/>
        <c:spPr>
          <a:no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81233920"/>
        <c:crosses val="autoZero"/>
        <c:auto val="1"/>
        <c:lblAlgn val="ctr"/>
        <c:lblOffset val="100"/>
        <c:noMultiLvlLbl val="0"/>
      </c:catAx>
      <c:spPr>
        <a:noFill/>
        <a:ln>
          <a:noFill/>
        </a:ln>
      </c:spPr>
    </c:plotArea>
    <c:plotVisOnly val="1"/>
    <c:dispBlanksAs val="gap"/>
    <c:showDLblsOverMax val="0"/>
  </c:chart>
  <c:spPr>
    <a:solidFill>
      <a:srgbClr val="FFFFFF"/>
    </a:solid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pl-PL" sz="1378" b="1" i="0" u="none" strike="noStrike" kern="1200" baseline="0">
                <a:solidFill>
                  <a:srgbClr val="000000"/>
                </a:solidFill>
                <a:latin typeface="Calibri"/>
              </a:defRPr>
            </a:pPr>
            <a:r>
              <a:rPr lang="pl-PL" sz="1378" b="1" i="0" u="none" strike="noStrike" kern="1200" cap="none" spc="0" baseline="0">
                <a:solidFill>
                  <a:srgbClr val="000000"/>
                </a:solidFill>
                <a:uFillTx/>
                <a:latin typeface="Calibri"/>
                <a:ea typeface="+mn-ea"/>
                <a:cs typeface="+mn-cs"/>
              </a:rPr>
              <a:t>procent (%) skarg i wniosków zasadnych</a:t>
            </a:r>
          </a:p>
        </c:rich>
      </c:tx>
      <c:overlay val="0"/>
      <c:spPr>
        <a:noFill/>
        <a:ln>
          <a:noFill/>
        </a:ln>
      </c:spPr>
    </c:title>
    <c:autoTitleDeleted val="0"/>
    <c:plotArea>
      <c:layout/>
      <c:lineChart>
        <c:grouping val="standard"/>
        <c:varyColors val="0"/>
        <c:ser>
          <c:idx val="0"/>
          <c:order val="0"/>
          <c:tx>
            <c:v>procent (%) skarg zasadnych</c:v>
          </c:tx>
          <c:spPr>
            <a:ln w="28575">
              <a:solidFill>
                <a:srgbClr val="4A7EBB"/>
              </a:solidFill>
              <a:prstDash val="solid"/>
              <a:round/>
            </a:ln>
          </c:spPr>
          <c:marker>
            <c:symbol val="none"/>
          </c:marker>
          <c:dPt>
            <c:idx val="0"/>
            <c:bubble3D val="0"/>
          </c:dPt>
          <c:dPt>
            <c:idx val="1"/>
            <c:bubble3D val="0"/>
          </c:dPt>
          <c:dPt>
            <c:idx val="2"/>
            <c:bubble3D val="0"/>
          </c:dPt>
          <c:dPt>
            <c:idx val="3"/>
            <c:bubble3D val="0"/>
          </c:dPt>
          <c:dPt>
            <c:idx val="4"/>
            <c:bubble3D val="0"/>
          </c:dPt>
          <c:dPt>
            <c:idx val="5"/>
            <c:bubble3D val="0"/>
          </c:dPt>
          <c:dLbls>
            <c:dLbl>
              <c:idx val="0"/>
              <c:layout>
                <c:manualLayout>
                  <c:x val="-3.121516164994426E-2"/>
                  <c:y val="-6.2176165803108807E-2"/>
                </c:manualLayout>
              </c:layout>
              <c:showLegendKey val="0"/>
              <c:showVal val="1"/>
              <c:showCatName val="0"/>
              <c:showSerName val="0"/>
              <c:showPercent val="0"/>
              <c:showBubbleSize val="0"/>
            </c:dLbl>
            <c:dLbl>
              <c:idx val="1"/>
              <c:layout>
                <c:manualLayout>
                  <c:x val="-3.5674470457079194E-2"/>
                  <c:y val="5.181347150259067E-2"/>
                </c:manualLayout>
              </c:layout>
              <c:showLegendKey val="0"/>
              <c:showVal val="1"/>
              <c:showCatName val="0"/>
              <c:showSerName val="0"/>
              <c:showPercent val="0"/>
              <c:showBubbleSize val="0"/>
            </c:dLbl>
            <c:dLbl>
              <c:idx val="2"/>
              <c:layout>
                <c:manualLayout>
                  <c:x val="-4.4593088071348944E-2"/>
                  <c:y val="-4.1450777202072513E-2"/>
                </c:manualLayout>
              </c:layout>
              <c:showLegendKey val="0"/>
              <c:showVal val="1"/>
              <c:showCatName val="0"/>
              <c:showSerName val="0"/>
              <c:showPercent val="0"/>
              <c:showBubbleSize val="0"/>
            </c:dLbl>
            <c:dLbl>
              <c:idx val="3"/>
              <c:layout>
                <c:manualLayout>
                  <c:x val="-4.6822742474916468E-2"/>
                  <c:y val="4.1450777202072443E-2"/>
                </c:manualLayout>
              </c:layout>
              <c:showLegendKey val="0"/>
              <c:showVal val="1"/>
              <c:showCatName val="0"/>
              <c:showSerName val="0"/>
              <c:showPercent val="0"/>
              <c:showBubbleSize val="0"/>
            </c:dLbl>
            <c:dLbl>
              <c:idx val="4"/>
              <c:layout>
                <c:manualLayout>
                  <c:x val="-2.8985507246376812E-2"/>
                  <c:y val="5.6994818652849645E-2"/>
                </c:manualLayout>
              </c:layout>
              <c:showLegendKey val="0"/>
              <c:showVal val="1"/>
              <c:showCatName val="0"/>
              <c:showSerName val="0"/>
              <c:showPercent val="0"/>
              <c:showBubbleSize val="0"/>
            </c:dLbl>
            <c:dLbl>
              <c:idx val="5"/>
              <c:layout>
                <c:manualLayout>
                  <c:x val="-4.0133779264214048E-2"/>
                  <c:y val="4.6632124352331702E-2"/>
                </c:manualLayout>
              </c:layout>
              <c:showLegendKey val="0"/>
              <c:showVal val="1"/>
              <c:showCatName val="0"/>
              <c:showSerName val="0"/>
              <c:showPercent val="0"/>
              <c:showBubbleSize val="0"/>
            </c:dLbl>
            <c:txPr>
              <a:bodyPr lIns="0" tIns="0" rIns="0" bIns="0"/>
              <a:lstStyle/>
              <a:p>
                <a:pPr marL="0" marR="0" indent="0" algn="ctr" defTabSz="914400" fontAlgn="auto" hangingPunct="1">
                  <a:lnSpc>
                    <a:spcPct val="100000"/>
                  </a:lnSpc>
                  <a:spcBef>
                    <a:spcPts val="0"/>
                  </a:spcBef>
                  <a:spcAft>
                    <a:spcPts val="0"/>
                  </a:spcAft>
                  <a:tabLst/>
                  <a:defRPr lang="pl-PL" sz="1378" b="1" i="0" u="none" strike="noStrike" kern="1200" baseline="0">
                    <a:solidFill>
                      <a:srgbClr val="000000"/>
                    </a:solidFill>
                    <a:latin typeface="Calibri"/>
                  </a:defRPr>
                </a:pPr>
                <a:endParaRPr lang="pl-PL"/>
              </a:p>
            </c:txPr>
            <c:showLegendKey val="0"/>
            <c:showVal val="1"/>
            <c:showCatName val="0"/>
            <c:showSerName val="0"/>
            <c:showPercent val="0"/>
            <c:showBubbleSize val="0"/>
            <c:showLeaderLines val="0"/>
          </c:dLbls>
          <c:cat>
            <c:strLit>
              <c:ptCount val="6"/>
              <c:pt idx="0">
                <c:v>Rok 2011</c:v>
              </c:pt>
              <c:pt idx="1">
                <c:v>Rok 2012</c:v>
              </c:pt>
              <c:pt idx="2">
                <c:v>Rok 2013</c:v>
              </c:pt>
              <c:pt idx="3">
                <c:v>Rok 2014</c:v>
              </c:pt>
              <c:pt idx="4">
                <c:v>Rok 2015</c:v>
              </c:pt>
              <c:pt idx="5">
                <c:v>Rok 2016</c:v>
              </c:pt>
            </c:strLit>
          </c:cat>
          <c:val>
            <c:numLit>
              <c:formatCode>General</c:formatCode>
              <c:ptCount val="6"/>
              <c:pt idx="0">
                <c:v>1.8</c:v>
              </c:pt>
              <c:pt idx="1">
                <c:v>1.7</c:v>
              </c:pt>
              <c:pt idx="2">
                <c:v>4.3099999999999996</c:v>
              </c:pt>
              <c:pt idx="3">
                <c:v>0.72</c:v>
              </c:pt>
              <c:pt idx="4">
                <c:v>1.5</c:v>
              </c:pt>
              <c:pt idx="5">
                <c:v>1.6</c:v>
              </c:pt>
            </c:numLit>
          </c:val>
          <c:smooth val="0"/>
        </c:ser>
        <c:dLbls>
          <c:showLegendKey val="0"/>
          <c:showVal val="0"/>
          <c:showCatName val="0"/>
          <c:showSerName val="0"/>
          <c:showPercent val="0"/>
          <c:showBubbleSize val="0"/>
        </c:dLbls>
        <c:marker val="1"/>
        <c:smooth val="0"/>
        <c:axId val="189642240"/>
        <c:axId val="189640704"/>
      </c:lineChart>
      <c:valAx>
        <c:axId val="189640704"/>
        <c:scaling>
          <c:orientation val="minMax"/>
        </c:scaling>
        <c:delete val="0"/>
        <c:axPos val="l"/>
        <c:majorGridlines>
          <c:spPr>
            <a:ln w="9528">
              <a:solidFill>
                <a:srgbClr val="868686"/>
              </a:solidFill>
              <a:prstDash val="solid"/>
              <a:round/>
            </a:ln>
          </c:spPr>
        </c:majorGridlines>
        <c:numFmt formatCode="General" sourceLinked="0"/>
        <c:majorTickMark val="out"/>
        <c:minorTickMark val="none"/>
        <c:tickLblPos val="nextTo"/>
        <c:spPr>
          <a:no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89642240"/>
        <c:crosses val="autoZero"/>
        <c:crossBetween val="between"/>
      </c:valAx>
      <c:catAx>
        <c:axId val="189642240"/>
        <c:scaling>
          <c:orientation val="minMax"/>
        </c:scaling>
        <c:delete val="0"/>
        <c:axPos val="b"/>
        <c:numFmt formatCode="General" sourceLinked="0"/>
        <c:majorTickMark val="out"/>
        <c:minorTickMark val="none"/>
        <c:tickLblPos val="nextTo"/>
        <c:spPr>
          <a:no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89640704"/>
        <c:crosses val="autoZero"/>
        <c:auto val="1"/>
        <c:lblAlgn val="ctr"/>
        <c:lblOffset val="100"/>
        <c:noMultiLvlLbl val="0"/>
      </c:catAx>
      <c:spPr>
        <a:solidFill>
          <a:srgbClr val="FFFFFF"/>
        </a:solidFill>
        <a:ln>
          <a:noFill/>
        </a:ln>
      </c:spPr>
    </c:plotArea>
    <c:plotVisOnly val="1"/>
    <c:dispBlanksAs val="gap"/>
    <c:showDLblsOverMax val="0"/>
  </c:chart>
  <c:spPr>
    <a:solidFill>
      <a:srgbClr val="FFFFFF"/>
    </a:solid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l" defTabSz="914400" fontAlgn="auto" hangingPunct="1">
              <a:lnSpc>
                <a:spcPct val="100000"/>
              </a:lnSpc>
              <a:spcBef>
                <a:spcPts val="0"/>
              </a:spcBef>
              <a:spcAft>
                <a:spcPts val="0"/>
              </a:spcAft>
              <a:tabLst/>
              <a:defRPr lang="pl-PL" sz="1200" b="1" i="0" u="none" strike="noStrike" kern="1200" baseline="0">
                <a:solidFill>
                  <a:srgbClr val="000000"/>
                </a:solidFill>
                <a:latin typeface="Garamond" pitchFamily="18"/>
              </a:defRPr>
            </a:pPr>
            <a:r>
              <a:rPr lang="pl-PL" sz="1200" b="1" i="0" u="none" strike="noStrike" kern="1200" cap="none" spc="0" baseline="0">
                <a:solidFill>
                  <a:srgbClr val="000000"/>
                </a:solidFill>
                <a:uFillTx/>
                <a:latin typeface="Garamond" pitchFamily="18"/>
                <a:ea typeface="+mn-ea"/>
                <a:cs typeface="+mn-cs"/>
              </a:rPr>
              <a:t>Sposób rozpatrzenia skarg i wniosków zbadanych bezpośrednio </a:t>
            </a:r>
            <a:br>
              <a:rPr lang="pl-PL" sz="1200" b="1" i="0" u="none" strike="noStrike" kern="1200" cap="none" spc="0" baseline="0">
                <a:solidFill>
                  <a:srgbClr val="000000"/>
                </a:solidFill>
                <a:uFillTx/>
                <a:latin typeface="Garamond" pitchFamily="18"/>
                <a:ea typeface="+mn-ea"/>
                <a:cs typeface="+mn-cs"/>
              </a:rPr>
            </a:br>
            <a:r>
              <a:rPr lang="pl-PL" sz="1200" b="1" i="0" u="none" strike="noStrike" kern="1200" cap="none" spc="0" baseline="0">
                <a:solidFill>
                  <a:srgbClr val="000000"/>
                </a:solidFill>
                <a:uFillTx/>
                <a:latin typeface="Garamond" pitchFamily="18"/>
                <a:ea typeface="+mn-ea"/>
                <a:cs typeface="+mn-cs"/>
              </a:rPr>
              <a:t> w Ministerstwie Sprawiedliwości w 2016 r</a:t>
            </a:r>
          </a:p>
        </c:rich>
      </c:tx>
      <c:layout>
        <c:manualLayout>
          <c:xMode val="edge"/>
          <c:yMode val="edge"/>
          <c:x val="0.1325675260492104"/>
          <c:y val="0"/>
        </c:manualLayout>
      </c:layout>
      <c:overlay val="0"/>
      <c:spPr>
        <a:noFill/>
        <a:ln>
          <a:noFill/>
        </a:ln>
      </c:spPr>
    </c:title>
    <c:autoTitleDeleted val="0"/>
    <c:view3D>
      <c:rotX val="65"/>
      <c:rotY val="0"/>
      <c:rAngAx val="0"/>
      <c:perspective val="30"/>
    </c:view3D>
    <c:floor>
      <c:thickness val="0"/>
      <c:spPr>
        <a:noFill/>
        <a:ln w="9528">
          <a:solidFill>
            <a:srgbClr val="868686"/>
          </a:solidFill>
          <a:prstDash val="solid"/>
          <a:round/>
        </a:ln>
      </c:spPr>
    </c:floor>
    <c:sideWall>
      <c:thickness val="0"/>
      <c:spPr>
        <a:noFill/>
        <a:ln>
          <a:noFill/>
        </a:ln>
      </c:spPr>
    </c:sideWall>
    <c:backWall>
      <c:thickness val="0"/>
      <c:spPr>
        <a:noFill/>
        <a:ln>
          <a:noFill/>
        </a:ln>
      </c:spPr>
    </c:backWall>
    <c:plotArea>
      <c:layout>
        <c:manualLayout>
          <c:xMode val="edge"/>
          <c:yMode val="edge"/>
          <c:x val="6.800884839227872E-2"/>
          <c:y val="0.2718581738333713"/>
          <c:w val="0.59538443982127653"/>
          <c:h val="0.62638012597729775"/>
        </c:manualLayout>
      </c:layout>
      <c:pie3DChart>
        <c:varyColors val="1"/>
        <c:ser>
          <c:idx val="0"/>
          <c:order val="0"/>
          <c:tx>
            <c:v>Sposób rozpatrzenia skarg zbadanych bezpośrednio w Ministerstwie Sprawiedliwości w 2013 r.</c:v>
          </c:tx>
          <c:explosion val="25"/>
          <c:dPt>
            <c:idx val="0"/>
            <c:bubble3D val="0"/>
            <c:spPr>
              <a:solidFill>
                <a:srgbClr val="4F81BD"/>
              </a:solidFill>
              <a:ln>
                <a:noFill/>
              </a:ln>
            </c:spPr>
          </c:dPt>
          <c:dPt>
            <c:idx val="1"/>
            <c:bubble3D val="0"/>
            <c:spPr>
              <a:solidFill>
                <a:srgbClr val="FFFF00"/>
              </a:solidFill>
              <a:ln>
                <a:noFill/>
              </a:ln>
            </c:spPr>
          </c:dPt>
          <c:dPt>
            <c:idx val="2"/>
            <c:bubble3D val="0"/>
            <c:spPr>
              <a:solidFill>
                <a:srgbClr val="92D050"/>
              </a:solidFill>
              <a:ln>
                <a:noFill/>
              </a:ln>
            </c:spPr>
          </c:dPt>
          <c:dLbls>
            <c:dLbl>
              <c:idx val="0"/>
              <c:tx>
                <c:rich>
                  <a:bodyPr/>
                  <a:lstStyle/>
                  <a:p>
                    <a:r>
                      <a:rPr lang="en-US" sz="1200" b="1"/>
                      <a:t>251</a:t>
                    </a:r>
                  </a:p>
                </c:rich>
              </c:tx>
              <c:showLegendKey val="0"/>
              <c:showVal val="1"/>
              <c:showCatName val="0"/>
              <c:showSerName val="0"/>
              <c:showPercent val="0"/>
              <c:showBubbleSize val="0"/>
            </c:dLbl>
            <c:dLbl>
              <c:idx val="1"/>
              <c:layout>
                <c:manualLayout>
                  <c:x val="-4.2848866299739288E-2"/>
                  <c:y val="8.966018320557613E-2"/>
                </c:manualLayout>
              </c:layout>
              <c:tx>
                <c:rich>
                  <a:bodyPr/>
                  <a:lstStyle/>
                  <a:p>
                    <a:r>
                      <a:rPr lang="en-US" sz="1100" b="1"/>
                      <a:t>1607</a:t>
                    </a:r>
                  </a:p>
                </c:rich>
              </c:tx>
              <c:showLegendKey val="0"/>
              <c:showVal val="1"/>
              <c:showCatName val="0"/>
              <c:showSerName val="0"/>
              <c:showPercent val="0"/>
              <c:showBubbleSize val="0"/>
            </c:dLbl>
            <c:dLbl>
              <c:idx val="2"/>
              <c:layout>
                <c:manualLayout>
                  <c:x val="0.10196297369183367"/>
                  <c:y val="-0.21501416627557318"/>
                </c:manualLayout>
              </c:layout>
              <c:tx>
                <c:rich>
                  <a:bodyPr/>
                  <a:lstStyle/>
                  <a:p>
                    <a:r>
                      <a:rPr lang="en-US" sz="1400" b="1"/>
                      <a:t>13632</a:t>
                    </a:r>
                  </a:p>
                </c:rich>
              </c:tx>
              <c:showLegendKey val="0"/>
              <c:showVal val="1"/>
              <c:showCatName val="0"/>
              <c:showSerName val="0"/>
              <c:showPercent val="0"/>
              <c:showBubbleSize val="0"/>
            </c:dLbl>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showLegendKey val="0"/>
            <c:showVal val="1"/>
            <c:showCatName val="0"/>
            <c:showSerName val="0"/>
            <c:showPercent val="0"/>
            <c:showBubbleSize val="0"/>
            <c:showLeaderLines val="1"/>
          </c:dLbls>
          <c:cat>
            <c:strLit>
              <c:ptCount val="3"/>
              <c:pt idx="0">
                <c:v>zasadnych</c:v>
              </c:pt>
              <c:pt idx="1">
                <c:v>bezzasadnych</c:v>
              </c:pt>
              <c:pt idx="2">
                <c:v>załatwionych w inny sposób</c:v>
              </c:pt>
            </c:strLit>
          </c:cat>
          <c:val>
            <c:numLit>
              <c:formatCode>General</c:formatCode>
              <c:ptCount val="3"/>
              <c:pt idx="0">
                <c:v>251</c:v>
              </c:pt>
              <c:pt idx="1">
                <c:v>1607</c:v>
              </c:pt>
              <c:pt idx="2">
                <c:v>13632</c:v>
              </c:pt>
            </c:numLit>
          </c:val>
        </c:ser>
        <c:dLbls>
          <c:showLegendKey val="0"/>
          <c:showVal val="0"/>
          <c:showCatName val="0"/>
          <c:showSerName val="0"/>
          <c:showPercent val="0"/>
          <c:showBubbleSize val="0"/>
          <c:showLeaderLines val="1"/>
        </c:dLbls>
      </c:pie3DChart>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lang="pl-PL" sz="1100" b="0" i="0" u="none" strike="noStrike" kern="1200" baseline="0">
              <a:solidFill>
                <a:srgbClr val="000000"/>
              </a:solidFill>
              <a:latin typeface="Calibri"/>
            </a:defRPr>
          </a:pPr>
          <a:endParaRPr lang="pl-PL"/>
        </a:p>
      </c:txPr>
    </c:legend>
    <c:plotVisOnly val="1"/>
    <c:dispBlanksAs val="gap"/>
    <c:showDLblsOverMax val="0"/>
  </c:chart>
  <c:spPr>
    <a:solidFill>
      <a:srgbClr val="FFFFFF"/>
    </a:solid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0578904199475066"/>
          <c:y val="4.3454088786846846E-2"/>
          <c:w val="0.69228929717118692"/>
          <c:h val="0.85849638658181426"/>
        </c:manualLayout>
      </c:layout>
      <c:barChart>
        <c:barDir val="col"/>
        <c:grouping val="clustered"/>
        <c:varyColors val="0"/>
        <c:ser>
          <c:idx val="0"/>
          <c:order val="0"/>
          <c:tx>
            <c:strRef>
              <c:f>Arkusz1!$B$1</c:f>
              <c:strCache>
                <c:ptCount val="1"/>
                <c:pt idx="0">
                  <c:v>skargi i wnioski rozpatrzone w ustawowym terminie </c:v>
                </c:pt>
              </c:strCache>
            </c:strRef>
          </c:tx>
          <c:invertIfNegative val="0"/>
          <c:dLbls>
            <c:dLbl>
              <c:idx val="0"/>
              <c:layout>
                <c:manualLayout>
                  <c:x val="0"/>
                  <c:y val="1.5873015873015872E-2"/>
                </c:manualLayout>
              </c:layout>
              <c:tx>
                <c:rich>
                  <a:bodyPr/>
                  <a:lstStyle/>
                  <a:p>
                    <a:r>
                      <a:rPr lang="en-US" b="1"/>
                      <a:t>90,8%</a:t>
                    </a:r>
                  </a:p>
                </c:rich>
              </c:tx>
              <c:showLegendKey val="0"/>
              <c:showVal val="1"/>
              <c:showCatName val="0"/>
              <c:showSerName val="0"/>
              <c:showPercent val="0"/>
              <c:showBubbleSize val="0"/>
            </c:dLbl>
            <c:dLbl>
              <c:idx val="1"/>
              <c:layout>
                <c:manualLayout>
                  <c:x val="0"/>
                  <c:y val="1.1904761904761904E-2"/>
                </c:manualLayout>
              </c:layout>
              <c:tx>
                <c:rich>
                  <a:bodyPr/>
                  <a:lstStyle/>
                  <a:p>
                    <a:r>
                      <a:rPr lang="en-US" b="1"/>
                      <a:t>84,7%</a:t>
                    </a:r>
                  </a:p>
                </c:rich>
              </c:tx>
              <c:showLegendKey val="0"/>
              <c:showVal val="1"/>
              <c:showCatName val="0"/>
              <c:showSerName val="0"/>
              <c:showPercent val="0"/>
              <c:showBubbleSize val="0"/>
            </c:dLbl>
            <c:dLbl>
              <c:idx val="2"/>
              <c:layout>
                <c:manualLayout>
                  <c:x val="0"/>
                  <c:y val="1.1904761904761904E-2"/>
                </c:manualLayout>
              </c:layout>
              <c:tx>
                <c:rich>
                  <a:bodyPr/>
                  <a:lstStyle/>
                  <a:p>
                    <a:r>
                      <a:rPr lang="en-US" b="1"/>
                      <a:t>84%</a:t>
                    </a:r>
                  </a:p>
                </c:rich>
              </c:tx>
              <c:showLegendKey val="0"/>
              <c:showVal val="1"/>
              <c:showCatName val="0"/>
              <c:showSerName val="0"/>
              <c:showPercent val="0"/>
              <c:showBubbleSize val="0"/>
            </c:dLbl>
            <c:dLbl>
              <c:idx val="3"/>
              <c:tx>
                <c:rich>
                  <a:bodyPr/>
                  <a:lstStyle/>
                  <a:p>
                    <a:r>
                      <a:rPr lang="en-US" b="1"/>
                      <a:t>87,7%</a:t>
                    </a:r>
                  </a:p>
                </c:rich>
              </c:tx>
              <c:showLegendKey val="0"/>
              <c:showVal val="1"/>
              <c:showCatName val="0"/>
              <c:showSerName val="0"/>
              <c:showPercent val="0"/>
              <c:showBubbleSize val="0"/>
            </c:dLbl>
            <c:dLbl>
              <c:idx val="4"/>
              <c:layout>
                <c:manualLayout>
                  <c:x val="0"/>
                  <c:y val="1.5873015873015872E-2"/>
                </c:manualLayout>
              </c:layout>
              <c:tx>
                <c:rich>
                  <a:bodyPr/>
                  <a:lstStyle/>
                  <a:p>
                    <a:r>
                      <a:rPr lang="en-US" b="1"/>
                      <a:t>94,7%</a:t>
                    </a:r>
                  </a:p>
                </c:rich>
              </c:tx>
              <c:showLegendKey val="0"/>
              <c:showVal val="1"/>
              <c:showCatName val="0"/>
              <c:showSerName val="0"/>
              <c:showPercent val="0"/>
              <c:showBubbleSize val="0"/>
            </c:dLbl>
            <c:dLbl>
              <c:idx val="5"/>
              <c:layout>
                <c:manualLayout>
                  <c:x val="-1.3888888888888805E-2"/>
                  <c:y val="2.3809523809523808E-2"/>
                </c:manualLayout>
              </c:layout>
              <c:tx>
                <c:rich>
                  <a:bodyPr/>
                  <a:lstStyle/>
                  <a:p>
                    <a:r>
                      <a:rPr lang="en-US" b="1"/>
                      <a:t>45%</a:t>
                    </a:r>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Arkusz1!$A$2:$A$7</c:f>
              <c:strCache>
                <c:ptCount val="6"/>
                <c:pt idx="0">
                  <c:v>Rok 2011</c:v>
                </c:pt>
                <c:pt idx="1">
                  <c:v>Rok 2012</c:v>
                </c:pt>
                <c:pt idx="2">
                  <c:v>Rok 2013</c:v>
                </c:pt>
                <c:pt idx="3">
                  <c:v>Rok 2014</c:v>
                </c:pt>
                <c:pt idx="4">
                  <c:v>Rok 2015</c:v>
                </c:pt>
                <c:pt idx="5">
                  <c:v>Rok 2016</c:v>
                </c:pt>
              </c:strCache>
            </c:strRef>
          </c:cat>
          <c:val>
            <c:numRef>
              <c:f>Arkusz1!$B$2:$B$7</c:f>
              <c:numCache>
                <c:formatCode>0.0%</c:formatCode>
                <c:ptCount val="6"/>
                <c:pt idx="0">
                  <c:v>0.90800000000000003</c:v>
                </c:pt>
                <c:pt idx="1">
                  <c:v>0.84699999999999998</c:v>
                </c:pt>
                <c:pt idx="2" formatCode="0%">
                  <c:v>0.84</c:v>
                </c:pt>
                <c:pt idx="3">
                  <c:v>0.877</c:v>
                </c:pt>
                <c:pt idx="4">
                  <c:v>0.94699999999999995</c:v>
                </c:pt>
                <c:pt idx="5" formatCode="0%">
                  <c:v>0.45</c:v>
                </c:pt>
              </c:numCache>
            </c:numRef>
          </c:val>
        </c:ser>
        <c:ser>
          <c:idx val="1"/>
          <c:order val="1"/>
          <c:tx>
            <c:strRef>
              <c:f>Arkusz1!$C$1</c:f>
              <c:strCache>
                <c:ptCount val="1"/>
                <c:pt idx="0">
                  <c:v>skargi i wnioski rozpatrzone z przekroczeniem ustawowego terminu</c:v>
                </c:pt>
              </c:strCache>
            </c:strRef>
          </c:tx>
          <c:invertIfNegative val="0"/>
          <c:dLbls>
            <c:dLbl>
              <c:idx val="0"/>
              <c:layout>
                <c:manualLayout>
                  <c:x val="1.1574074074074073E-2"/>
                  <c:y val="1.5873015873015872E-2"/>
                </c:manualLayout>
              </c:layout>
              <c:tx>
                <c:rich>
                  <a:bodyPr/>
                  <a:lstStyle/>
                  <a:p>
                    <a:r>
                      <a:rPr lang="en-US" b="1"/>
                      <a:t>9,2%</a:t>
                    </a:r>
                  </a:p>
                </c:rich>
              </c:tx>
              <c:showLegendKey val="0"/>
              <c:showVal val="1"/>
              <c:showCatName val="0"/>
              <c:showSerName val="0"/>
              <c:showPercent val="0"/>
              <c:showBubbleSize val="0"/>
            </c:dLbl>
            <c:dLbl>
              <c:idx val="1"/>
              <c:layout>
                <c:manualLayout>
                  <c:x val="1.3888888888888888E-2"/>
                  <c:y val="1.984126984126984E-2"/>
                </c:manualLayout>
              </c:layout>
              <c:tx>
                <c:rich>
                  <a:bodyPr/>
                  <a:lstStyle/>
                  <a:p>
                    <a:r>
                      <a:rPr lang="en-US" b="1"/>
                      <a:t>15,3%</a:t>
                    </a:r>
                  </a:p>
                </c:rich>
              </c:tx>
              <c:showLegendKey val="0"/>
              <c:showVal val="1"/>
              <c:showCatName val="0"/>
              <c:showSerName val="0"/>
              <c:showPercent val="0"/>
              <c:showBubbleSize val="0"/>
            </c:dLbl>
            <c:dLbl>
              <c:idx val="2"/>
              <c:layout>
                <c:manualLayout>
                  <c:x val="1.1574074074074073E-2"/>
                  <c:y val="2.3809523809523808E-2"/>
                </c:manualLayout>
              </c:layout>
              <c:tx>
                <c:rich>
                  <a:bodyPr/>
                  <a:lstStyle/>
                  <a:p>
                    <a:r>
                      <a:rPr lang="en-US" b="1"/>
                      <a:t>16%</a:t>
                    </a:r>
                  </a:p>
                </c:rich>
              </c:tx>
              <c:showLegendKey val="0"/>
              <c:showVal val="1"/>
              <c:showCatName val="0"/>
              <c:showSerName val="0"/>
              <c:showPercent val="0"/>
              <c:showBubbleSize val="0"/>
            </c:dLbl>
            <c:dLbl>
              <c:idx val="3"/>
              <c:layout>
                <c:manualLayout>
                  <c:x val="1.3888888888888888E-2"/>
                  <c:y val="1.5873015873015872E-2"/>
                </c:manualLayout>
              </c:layout>
              <c:tx>
                <c:rich>
                  <a:bodyPr/>
                  <a:lstStyle/>
                  <a:p>
                    <a:r>
                      <a:rPr lang="en-US" b="1"/>
                      <a:t>12,3%</a:t>
                    </a:r>
                  </a:p>
                </c:rich>
              </c:tx>
              <c:showLegendKey val="0"/>
              <c:showVal val="1"/>
              <c:showCatName val="0"/>
              <c:showSerName val="0"/>
              <c:showPercent val="0"/>
              <c:showBubbleSize val="0"/>
            </c:dLbl>
            <c:dLbl>
              <c:idx val="4"/>
              <c:layout>
                <c:manualLayout>
                  <c:x val="1.3888888888888973E-2"/>
                  <c:y val="1.984126984126984E-2"/>
                </c:manualLayout>
              </c:layout>
              <c:spPr/>
              <c:txPr>
                <a:bodyPr/>
                <a:lstStyle/>
                <a:p>
                  <a:pPr>
                    <a:defRPr b="1"/>
                  </a:pPr>
                  <a:endParaRPr lang="pl-PL"/>
                </a:p>
              </c:txPr>
              <c:showLegendKey val="0"/>
              <c:showVal val="1"/>
              <c:showCatName val="0"/>
              <c:showSerName val="0"/>
              <c:showPercent val="0"/>
              <c:showBubbleSize val="0"/>
            </c:dLbl>
            <c:dLbl>
              <c:idx val="5"/>
              <c:layout>
                <c:manualLayout>
                  <c:x val="-8.4875562720133283E-17"/>
                  <c:y val="1.5873015873015872E-2"/>
                </c:manualLayout>
              </c:layout>
              <c:tx>
                <c:rich>
                  <a:bodyPr/>
                  <a:lstStyle/>
                  <a:p>
                    <a:r>
                      <a:rPr lang="en-US" b="1"/>
                      <a:t>55%</a:t>
                    </a:r>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Arkusz1!$A$2:$A$7</c:f>
              <c:strCache>
                <c:ptCount val="6"/>
                <c:pt idx="0">
                  <c:v>Rok 2011</c:v>
                </c:pt>
                <c:pt idx="1">
                  <c:v>Rok 2012</c:v>
                </c:pt>
                <c:pt idx="2">
                  <c:v>Rok 2013</c:v>
                </c:pt>
                <c:pt idx="3">
                  <c:v>Rok 2014</c:v>
                </c:pt>
                <c:pt idx="4">
                  <c:v>Rok 2015</c:v>
                </c:pt>
                <c:pt idx="5">
                  <c:v>Rok 2016</c:v>
                </c:pt>
              </c:strCache>
            </c:strRef>
          </c:cat>
          <c:val>
            <c:numRef>
              <c:f>Arkusz1!$C$2:$C$7</c:f>
              <c:numCache>
                <c:formatCode>0.0%</c:formatCode>
                <c:ptCount val="6"/>
                <c:pt idx="0">
                  <c:v>9.1999999999999998E-2</c:v>
                </c:pt>
                <c:pt idx="1">
                  <c:v>0.153</c:v>
                </c:pt>
                <c:pt idx="2" formatCode="0%">
                  <c:v>0.16</c:v>
                </c:pt>
                <c:pt idx="3">
                  <c:v>0.123</c:v>
                </c:pt>
                <c:pt idx="4">
                  <c:v>5.2999999999999999E-2</c:v>
                </c:pt>
                <c:pt idx="5" formatCode="0%">
                  <c:v>0.55000000000000004</c:v>
                </c:pt>
              </c:numCache>
            </c:numRef>
          </c:val>
        </c:ser>
        <c:dLbls>
          <c:showLegendKey val="0"/>
          <c:showVal val="0"/>
          <c:showCatName val="0"/>
          <c:showSerName val="0"/>
          <c:showPercent val="0"/>
          <c:showBubbleSize val="0"/>
        </c:dLbls>
        <c:gapWidth val="150"/>
        <c:axId val="189864576"/>
        <c:axId val="189919616"/>
      </c:barChart>
      <c:catAx>
        <c:axId val="189864576"/>
        <c:scaling>
          <c:orientation val="minMax"/>
        </c:scaling>
        <c:delete val="0"/>
        <c:axPos val="b"/>
        <c:majorTickMark val="out"/>
        <c:minorTickMark val="none"/>
        <c:tickLblPos val="nextTo"/>
        <c:crossAx val="189919616"/>
        <c:crosses val="autoZero"/>
        <c:auto val="1"/>
        <c:lblAlgn val="ctr"/>
        <c:lblOffset val="100"/>
        <c:noMultiLvlLbl val="0"/>
      </c:catAx>
      <c:valAx>
        <c:axId val="189919616"/>
        <c:scaling>
          <c:orientation val="minMax"/>
        </c:scaling>
        <c:delete val="0"/>
        <c:axPos val="l"/>
        <c:majorGridlines/>
        <c:numFmt formatCode="0.0%" sourceLinked="1"/>
        <c:majorTickMark val="out"/>
        <c:minorTickMark val="none"/>
        <c:tickLblPos val="nextTo"/>
        <c:crossAx val="189864576"/>
        <c:crosses val="autoZero"/>
        <c:crossBetween val="between"/>
      </c:valAx>
    </c:plotArea>
    <c:legend>
      <c:legendPos val="r"/>
      <c:layout>
        <c:manualLayout>
          <c:xMode val="edge"/>
          <c:yMode val="edge"/>
          <c:x val="0.79807833916593762"/>
          <c:y val="3.718692697659369E-2"/>
          <c:w val="0.18803277194517351"/>
          <c:h val="0.86390064255666676"/>
        </c:manualLayout>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lIns="0" tIns="0" rIns="0" bIns="0"/>
          <a:lstStyle/>
          <a:p>
            <a:pPr marL="0" marR="0" indent="0" algn="ctr" defTabSz="914400" fontAlgn="auto" hangingPunct="1">
              <a:lnSpc>
                <a:spcPct val="100000"/>
              </a:lnSpc>
              <a:spcBef>
                <a:spcPts val="0"/>
              </a:spcBef>
              <a:spcAft>
                <a:spcPts val="0"/>
              </a:spcAft>
              <a:tabLst/>
              <a:defRPr lang="pl-PL" sz="1200" b="0" i="0" u="none" strike="noStrike" kern="1200" baseline="0">
                <a:solidFill>
                  <a:srgbClr val="000000"/>
                </a:solidFill>
                <a:latin typeface="Calibri"/>
              </a:defRPr>
            </a:pPr>
            <a:r>
              <a:rPr lang="pl-PL" sz="1200" b="0" i="0" u="none" strike="noStrike" kern="1200" cap="none" spc="0" baseline="0">
                <a:solidFill>
                  <a:srgbClr val="000000"/>
                </a:solidFill>
                <a:uFillTx/>
                <a:latin typeface="Calibri"/>
                <a:ea typeface="+mn-ea"/>
                <a:cs typeface="+mn-cs"/>
              </a:rPr>
              <a:t>Liczba osób przyjętych osobiście w Ministerstwie Sprawiedliwości i wysłuchanych telefonicznie</a:t>
            </a:r>
          </a:p>
        </c:rich>
      </c:tx>
      <c:overlay val="0"/>
      <c:spPr>
        <a:noFill/>
        <a:ln>
          <a:noFill/>
        </a:ln>
      </c:spPr>
    </c:title>
    <c:autoTitleDeleted val="0"/>
    <c:view3D>
      <c:rotX val="0"/>
      <c:rotY val="0"/>
      <c:rAngAx val="0"/>
      <c:perspective val="46"/>
    </c:view3D>
    <c:floor>
      <c:thickness val="0"/>
      <c:spPr>
        <a:noFill/>
        <a:ln w="9528">
          <a:solidFill>
            <a:srgbClr val="868686"/>
          </a:solidFill>
          <a:prstDash val="solid"/>
          <a:round/>
        </a:ln>
      </c:spPr>
    </c:floor>
    <c:sideWall>
      <c:thickness val="0"/>
      <c:spPr>
        <a:noFill/>
        <a:ln>
          <a:noFill/>
        </a:ln>
      </c:spPr>
    </c:sideWall>
    <c:backWall>
      <c:thickness val="0"/>
      <c:spPr>
        <a:noFill/>
        <a:ln>
          <a:noFill/>
        </a:ln>
      </c:spPr>
    </c:backWall>
    <c:plotArea>
      <c:layout/>
      <c:bar3DChart>
        <c:barDir val="col"/>
        <c:grouping val="clustered"/>
        <c:varyColors val="0"/>
        <c:ser>
          <c:idx val="0"/>
          <c:order val="0"/>
          <c:tx>
            <c:v>Ilość osób orzyjetych osobiście w Ministerstwie Sprawiedliwosci i wysłuchanych telefonicznie</c:v>
          </c:tx>
          <c:spPr>
            <a:solidFill>
              <a:srgbClr val="4F81BD"/>
            </a:solidFill>
            <a:ln>
              <a:noFill/>
            </a:ln>
          </c:spPr>
          <c:invertIfNegative val="0"/>
          <c:dLbls>
            <c:dLbl>
              <c:idx val="0"/>
              <c:layout>
                <c:manualLayout>
                  <c:x val="1.1000926864339977E-2"/>
                  <c:y val="-1.9607843137254867E-2"/>
                </c:manualLayout>
              </c:layout>
              <c:tx>
                <c:rich>
                  <a:bodyPr/>
                  <a:lstStyle/>
                  <a:p>
                    <a:r>
                      <a:rPr lang="en-US" sz="1200" b="1"/>
                      <a:t>4474</a:t>
                    </a:r>
                  </a:p>
                </c:rich>
              </c:tx>
              <c:showLegendKey val="0"/>
              <c:showVal val="1"/>
              <c:showCatName val="0"/>
              <c:showSerName val="0"/>
              <c:showPercent val="0"/>
              <c:showBubbleSize val="0"/>
            </c:dLbl>
            <c:dLbl>
              <c:idx val="1"/>
              <c:layout>
                <c:manualLayout>
                  <c:x val="4.4004400440044002E-3"/>
                  <c:y val="-1.1764705882352941E-2"/>
                </c:manualLayout>
              </c:layout>
              <c:tx>
                <c:rich>
                  <a:bodyPr/>
                  <a:lstStyle/>
                  <a:p>
                    <a:r>
                      <a:rPr lang="en-US" sz="1200" b="1"/>
                      <a:t>5437</a:t>
                    </a:r>
                  </a:p>
                </c:rich>
              </c:tx>
              <c:showLegendKey val="0"/>
              <c:showVal val="1"/>
              <c:showCatName val="0"/>
              <c:showSerName val="0"/>
              <c:showPercent val="0"/>
              <c:showBubbleSize val="0"/>
            </c:dLbl>
            <c:dLbl>
              <c:idx val="2"/>
              <c:layout>
                <c:manualLayout>
                  <c:x val="4.4004400440044002E-3"/>
                  <c:y val="0"/>
                </c:manualLayout>
              </c:layout>
              <c:tx>
                <c:rich>
                  <a:bodyPr/>
                  <a:lstStyle/>
                  <a:p>
                    <a:r>
                      <a:rPr lang="en-US" sz="1200" b="1"/>
                      <a:t>3684</a:t>
                    </a:r>
                  </a:p>
                </c:rich>
              </c:tx>
              <c:showLegendKey val="0"/>
              <c:showVal val="1"/>
              <c:showCatName val="0"/>
              <c:showSerName val="0"/>
              <c:showPercent val="0"/>
              <c:showBubbleSize val="0"/>
            </c:dLbl>
            <c:dLbl>
              <c:idx val="3"/>
              <c:tx>
                <c:rich>
                  <a:bodyPr/>
                  <a:lstStyle/>
                  <a:p>
                    <a:r>
                      <a:rPr lang="en-US" sz="1200" b="1"/>
                      <a:t>3038</a:t>
                    </a:r>
                  </a:p>
                </c:rich>
              </c:tx>
              <c:showLegendKey val="0"/>
              <c:showVal val="1"/>
              <c:showCatName val="0"/>
              <c:showSerName val="0"/>
              <c:showPercent val="0"/>
              <c:showBubbleSize val="0"/>
            </c:dLbl>
            <c:dLbl>
              <c:idx val="4"/>
              <c:layout>
                <c:manualLayout>
                  <c:x val="-8.8008800880088819E-3"/>
                  <c:y val="3.9215686274509803E-3"/>
                </c:manualLayout>
              </c:layout>
              <c:tx>
                <c:rich>
                  <a:bodyPr/>
                  <a:lstStyle/>
                  <a:p>
                    <a:r>
                      <a:rPr lang="en-US" sz="1200" b="1"/>
                      <a:t>3200</a:t>
                    </a:r>
                  </a:p>
                </c:rich>
              </c:tx>
              <c:showLegendKey val="0"/>
              <c:showVal val="1"/>
              <c:showCatName val="0"/>
              <c:showSerName val="0"/>
              <c:showPercent val="0"/>
              <c:showBubbleSize val="0"/>
            </c:dLbl>
            <c:dLbl>
              <c:idx val="5"/>
              <c:layout>
                <c:manualLayout>
                  <c:x val="-1.3201320132013201E-2"/>
                  <c:y val="-1.1764705882352941E-2"/>
                </c:manualLayout>
              </c:layout>
              <c:tx>
                <c:rich>
                  <a:bodyPr/>
                  <a:lstStyle/>
                  <a:p>
                    <a:r>
                      <a:rPr lang="en-US" sz="1200" b="1"/>
                      <a:t>5415</a:t>
                    </a:r>
                  </a:p>
                </c:rich>
              </c:tx>
              <c:showLegendKey val="0"/>
              <c:showVal val="1"/>
              <c:showCatName val="0"/>
              <c:showSerName val="0"/>
              <c:showPercent val="0"/>
              <c:showBubbleSize val="0"/>
            </c:dLbl>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showLegendKey val="0"/>
            <c:showVal val="1"/>
            <c:showCatName val="0"/>
            <c:showSerName val="0"/>
            <c:showPercent val="0"/>
            <c:showBubbleSize val="0"/>
            <c:showLeaderLines val="0"/>
          </c:dLbls>
          <c:cat>
            <c:strLit>
              <c:ptCount val="6"/>
              <c:pt idx="0">
                <c:v> Rok 2011</c:v>
              </c:pt>
              <c:pt idx="1">
                <c:v>Rok 2012</c:v>
              </c:pt>
              <c:pt idx="2">
                <c:v>Rok 2013</c:v>
              </c:pt>
              <c:pt idx="3">
                <c:v>Rok 2014</c:v>
              </c:pt>
              <c:pt idx="4">
                <c:v>rok 2015</c:v>
              </c:pt>
              <c:pt idx="5">
                <c:v>rok 2016</c:v>
              </c:pt>
            </c:strLit>
          </c:cat>
          <c:val>
            <c:numLit>
              <c:formatCode>General</c:formatCode>
              <c:ptCount val="6"/>
              <c:pt idx="0">
                <c:v>4474</c:v>
              </c:pt>
              <c:pt idx="1">
                <c:v>5437</c:v>
              </c:pt>
              <c:pt idx="2">
                <c:v>3684</c:v>
              </c:pt>
              <c:pt idx="3">
                <c:v>3038</c:v>
              </c:pt>
              <c:pt idx="4">
                <c:v>3200</c:v>
              </c:pt>
              <c:pt idx="5">
                <c:v>5415</c:v>
              </c:pt>
            </c:numLit>
          </c:val>
          <c:shape val="cylinder"/>
        </c:ser>
        <c:dLbls>
          <c:showLegendKey val="0"/>
          <c:showVal val="0"/>
          <c:showCatName val="0"/>
          <c:showSerName val="0"/>
          <c:showPercent val="0"/>
          <c:showBubbleSize val="0"/>
        </c:dLbls>
        <c:gapWidth val="150"/>
        <c:shape val="box"/>
        <c:axId val="199502080"/>
        <c:axId val="199500544"/>
        <c:axId val="0"/>
      </c:bar3DChart>
      <c:valAx>
        <c:axId val="199500544"/>
        <c:scaling>
          <c:orientation val="minMax"/>
        </c:scaling>
        <c:delete val="0"/>
        <c:axPos val="l"/>
        <c:majorGridlines>
          <c:spPr>
            <a:ln w="9528">
              <a:solidFill>
                <a:srgbClr val="868686"/>
              </a:solidFill>
              <a:prstDash val="solid"/>
              <a:round/>
            </a:ln>
          </c:spPr>
        </c:majorGridlines>
        <c:numFmt formatCode="General" sourceLinked="0"/>
        <c:majorTickMark val="out"/>
        <c:minorTickMark val="none"/>
        <c:tickLblPos val="nextTo"/>
        <c:spPr>
          <a:no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99502080"/>
        <c:crosses val="autoZero"/>
        <c:crossBetween val="between"/>
      </c:valAx>
      <c:catAx>
        <c:axId val="199502080"/>
        <c:scaling>
          <c:orientation val="minMax"/>
        </c:scaling>
        <c:delete val="0"/>
        <c:axPos val="b"/>
        <c:numFmt formatCode="General" sourceLinked="0"/>
        <c:majorTickMark val="out"/>
        <c:minorTickMark val="none"/>
        <c:tickLblPos val="nextTo"/>
        <c:spPr>
          <a:no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99500544"/>
        <c:crosses val="autoZero"/>
        <c:auto val="1"/>
        <c:lblAlgn val="ctr"/>
        <c:lblOffset val="100"/>
        <c:noMultiLvlLbl val="0"/>
      </c:catAx>
      <c:spPr>
        <a:noFill/>
        <a:ln>
          <a:noFill/>
        </a:ln>
      </c:spPr>
    </c:plotArea>
    <c:plotVisOnly val="1"/>
    <c:dispBlanksAs val="gap"/>
    <c:showDLblsOverMax val="0"/>
  </c:chart>
  <c:spPr>
    <a:solidFill>
      <a:srgbClr val="FFFFFF"/>
    </a:solid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D3E56-54C7-413E-89E6-ABF2BA897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16808</Words>
  <Characters>100849</Characters>
  <Application>Microsoft Office Word</Application>
  <DocSecurity>0</DocSecurity>
  <Lines>840</Lines>
  <Paragraphs>234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117423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Czmoch Przemysław  (BM)</dc:creator>
  <cp:lastModifiedBy>Laska Dominik  (BKA)</cp:lastModifiedBy>
  <cp:revision>2</cp:revision>
  <cp:lastPrinted>2017-11-27T09:09:00Z</cp:lastPrinted>
  <dcterms:created xsi:type="dcterms:W3CDTF">2017-12-08T13:27:00Z</dcterms:created>
  <dcterms:modified xsi:type="dcterms:W3CDTF">2017-12-08T13:27:00Z</dcterms:modified>
</cp:coreProperties>
</file>