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8DE" w:rsidRPr="004848DE" w:rsidRDefault="00B153BD" w:rsidP="009352BB">
      <w:pPr>
        <w:ind w:left="3540"/>
        <w:rPr>
          <w:b/>
        </w:rPr>
      </w:pPr>
      <w:r>
        <w:t xml:space="preserve">       </w:t>
      </w:r>
      <w:r w:rsidR="004848DE" w:rsidRPr="004848DE">
        <w:rPr>
          <w:b/>
        </w:rPr>
        <w:t>Komunika</w:t>
      </w:r>
      <w:r w:rsidR="00EB0A95">
        <w:rPr>
          <w:b/>
        </w:rPr>
        <w:t>t</w:t>
      </w:r>
    </w:p>
    <w:p w:rsidR="004848DE" w:rsidRPr="004848DE" w:rsidRDefault="004848DE" w:rsidP="00AB5130">
      <w:pPr>
        <w:jc w:val="center"/>
        <w:rPr>
          <w:b/>
        </w:rPr>
      </w:pPr>
      <w:r w:rsidRPr="004848DE">
        <w:rPr>
          <w:b/>
        </w:rPr>
        <w:t>Ministra Sprawiedliwości</w:t>
      </w:r>
    </w:p>
    <w:p w:rsidR="004848DE" w:rsidRDefault="004848DE" w:rsidP="00AB5130">
      <w:pPr>
        <w:jc w:val="center"/>
      </w:pPr>
      <w:r>
        <w:t>z dnia ………………………</w:t>
      </w:r>
      <w:r w:rsidR="00FF5442">
        <w:t>2014 r.</w:t>
      </w:r>
    </w:p>
    <w:p w:rsidR="004848DE" w:rsidRDefault="004848DE" w:rsidP="004848DE">
      <w:pPr>
        <w:jc w:val="center"/>
        <w:rPr>
          <w:b/>
        </w:rPr>
      </w:pPr>
      <w:bookmarkStart w:id="0" w:name="_GoBack"/>
      <w:r w:rsidRPr="004848DE">
        <w:rPr>
          <w:b/>
        </w:rPr>
        <w:t xml:space="preserve">w sprawie szczegółowych wytycznych w zakresie kontroli zarządczej dla działu administracji rządowej </w:t>
      </w:r>
      <w:r>
        <w:rPr>
          <w:b/>
        </w:rPr>
        <w:t>–</w:t>
      </w:r>
      <w:r w:rsidRPr="004848DE">
        <w:rPr>
          <w:b/>
        </w:rPr>
        <w:t xml:space="preserve"> sprawiedliwość</w:t>
      </w:r>
    </w:p>
    <w:bookmarkEnd w:id="0"/>
    <w:p w:rsidR="004848DE" w:rsidRDefault="004848DE" w:rsidP="004848DE">
      <w:pPr>
        <w:ind w:firstLine="708"/>
        <w:jc w:val="both"/>
      </w:pPr>
      <w:r w:rsidRPr="004848DE">
        <w:t>Na podstawie art. 69 ust. 5 ustawy z dnia 27 sierpnia 2009 r. o finansach publicznych (Dz. U.</w:t>
      </w:r>
      <w:r w:rsidR="00C31B03">
        <w:t xml:space="preserve"> </w:t>
      </w:r>
      <w:r w:rsidR="00214BF6">
        <w:br/>
      </w:r>
      <w:r w:rsidR="00C31B03">
        <w:t>z</w:t>
      </w:r>
      <w:r w:rsidRPr="004848DE">
        <w:t xml:space="preserve"> </w:t>
      </w:r>
      <w:r w:rsidR="00854BEA">
        <w:t>2013</w:t>
      </w:r>
      <w:r w:rsidR="00C31B03">
        <w:t xml:space="preserve"> r.</w:t>
      </w:r>
      <w:r w:rsidR="00854BEA">
        <w:t xml:space="preserve"> </w:t>
      </w:r>
      <w:r w:rsidR="004F5213">
        <w:t>poz.</w:t>
      </w:r>
      <w:r w:rsidRPr="004848DE">
        <w:t xml:space="preserve"> </w:t>
      </w:r>
      <w:r w:rsidR="00AB5130">
        <w:t>885</w:t>
      </w:r>
      <w:r w:rsidR="00581AB5">
        <w:t xml:space="preserve">, </w:t>
      </w:r>
      <w:r w:rsidR="00581AB5" w:rsidRPr="00581AB5">
        <w:t xml:space="preserve"> 938</w:t>
      </w:r>
      <w:r w:rsidR="0066134F">
        <w:t xml:space="preserve"> i</w:t>
      </w:r>
      <w:r w:rsidR="00581AB5" w:rsidRPr="00581AB5">
        <w:t xml:space="preserve"> 1646</w:t>
      </w:r>
      <w:r w:rsidR="004F5213">
        <w:t>)</w:t>
      </w:r>
      <w:r w:rsidRPr="004848DE">
        <w:t xml:space="preserve"> ustala się szczegółowe wytyczne w zakresie kontroli zarządczej dla działu administracji rządowej – sprawiedliwość.</w:t>
      </w:r>
    </w:p>
    <w:p w:rsidR="00F5198F" w:rsidRPr="0066134F" w:rsidRDefault="000D09FE" w:rsidP="00AB5130">
      <w:pPr>
        <w:jc w:val="center"/>
        <w:rPr>
          <w:b/>
        </w:rPr>
      </w:pPr>
      <w:r w:rsidRPr="0066134F">
        <w:rPr>
          <w:b/>
        </w:rPr>
        <w:t>Rozdział I</w:t>
      </w:r>
    </w:p>
    <w:p w:rsidR="00F5198F" w:rsidRPr="0066134F" w:rsidRDefault="000D09FE" w:rsidP="00AB5130">
      <w:pPr>
        <w:jc w:val="center"/>
        <w:rPr>
          <w:b/>
        </w:rPr>
      </w:pPr>
      <w:r w:rsidRPr="0066134F">
        <w:rPr>
          <w:b/>
        </w:rPr>
        <w:t>Przepisy ogólne</w:t>
      </w:r>
    </w:p>
    <w:p w:rsidR="00F5198F" w:rsidRDefault="00F5198F" w:rsidP="00AB5130">
      <w:pPr>
        <w:jc w:val="both"/>
      </w:pPr>
      <w:r>
        <w:t>§ 1. Ilekroć w komunikacie jest mowa o:</w:t>
      </w:r>
    </w:p>
    <w:p w:rsidR="00F5198F" w:rsidRDefault="00C31B03" w:rsidP="00AB5130">
      <w:pPr>
        <w:pStyle w:val="Akapitzlist"/>
        <w:numPr>
          <w:ilvl w:val="0"/>
          <w:numId w:val="1"/>
        </w:numPr>
        <w:ind w:left="0" w:firstLine="0"/>
        <w:jc w:val="both"/>
      </w:pPr>
      <w:r>
        <w:t>k</w:t>
      </w:r>
      <w:r w:rsidR="00F5198F">
        <w:t xml:space="preserve">ontroli zarządczej </w:t>
      </w:r>
      <w:r w:rsidR="00AB5130">
        <w:t>–</w:t>
      </w:r>
      <w:r w:rsidR="00F5198F">
        <w:t xml:space="preserve"> </w:t>
      </w:r>
      <w:r w:rsidR="00AB5130">
        <w:t>należy przez to rozumieć kontrolę zarządczą w rozumieniu działu I rozdziału 6 ustawy o finansach publicznych;</w:t>
      </w:r>
    </w:p>
    <w:p w:rsidR="00AB5130" w:rsidRDefault="00C31B03" w:rsidP="00AB5130">
      <w:pPr>
        <w:pStyle w:val="Akapitzlist"/>
        <w:numPr>
          <w:ilvl w:val="0"/>
          <w:numId w:val="1"/>
        </w:numPr>
        <w:ind w:left="0" w:firstLine="0"/>
        <w:jc w:val="both"/>
      </w:pPr>
      <w:r>
        <w:t>d</w:t>
      </w:r>
      <w:r w:rsidR="00AB5130">
        <w:t>ziale – należy przez to rozumieć dział admin</w:t>
      </w:r>
      <w:r w:rsidR="00D7259A">
        <w:t>istracji rządowej sprawiedliwość</w:t>
      </w:r>
      <w:r w:rsidR="00AB5130">
        <w:t xml:space="preserve"> w rozumieniu ustawy z dnia 4 września </w:t>
      </w:r>
      <w:r w:rsidR="00D7259A">
        <w:t xml:space="preserve">1997 r. o działach administracji rządowej (Dz. U. </w:t>
      </w:r>
      <w:r>
        <w:t>z</w:t>
      </w:r>
      <w:r w:rsidR="005533D5">
        <w:t xml:space="preserve"> </w:t>
      </w:r>
      <w:r w:rsidR="00D7259A">
        <w:t>20</w:t>
      </w:r>
      <w:r w:rsidR="004F5213">
        <w:t>13</w:t>
      </w:r>
      <w:r w:rsidR="005533D5">
        <w:t xml:space="preserve"> r.</w:t>
      </w:r>
      <w:r w:rsidR="00D7259A">
        <w:t xml:space="preserve">  poz. </w:t>
      </w:r>
      <w:r w:rsidR="004F5213">
        <w:t>743</w:t>
      </w:r>
      <w:r w:rsidR="009D26DE">
        <w:t xml:space="preserve"> i 984</w:t>
      </w:r>
      <w:r w:rsidR="00D7259A">
        <w:t>)</w:t>
      </w:r>
      <w:r w:rsidR="001513F6">
        <w:t>;</w:t>
      </w:r>
    </w:p>
    <w:p w:rsidR="00AB5130" w:rsidRDefault="00C31B03" w:rsidP="00AB5130">
      <w:pPr>
        <w:pStyle w:val="Akapitzlist"/>
        <w:numPr>
          <w:ilvl w:val="0"/>
          <w:numId w:val="1"/>
        </w:numPr>
        <w:ind w:left="0" w:firstLine="0"/>
        <w:jc w:val="both"/>
      </w:pPr>
      <w:r>
        <w:t>j</w:t>
      </w:r>
      <w:r w:rsidR="00AB5130">
        <w:t>ednostce – należy przez to rozumieć jednostkę w dziale, o której mowa w art. 2 pkt 7 ustawy o finansach publicznych;</w:t>
      </w:r>
    </w:p>
    <w:p w:rsidR="004848DE" w:rsidRDefault="00C31B03" w:rsidP="00AB5130">
      <w:pPr>
        <w:pStyle w:val="Akapitzlist"/>
        <w:numPr>
          <w:ilvl w:val="0"/>
          <w:numId w:val="1"/>
        </w:numPr>
        <w:ind w:left="0" w:firstLine="0"/>
        <w:jc w:val="both"/>
      </w:pPr>
      <w:r>
        <w:t>p</w:t>
      </w:r>
      <w:r w:rsidR="00775691">
        <w:t>lanie działalności Ministra – należy przez to rozumieć plan działalności Ministra Sprawiedliwości, sporządzony zgodnie z rozporządzeniem wydanym na podstawie art. 70 ust. 7 ustawy o finansach publicznych</w:t>
      </w:r>
      <w:r w:rsidR="00F40250">
        <w:t>;</w:t>
      </w:r>
    </w:p>
    <w:p w:rsidR="001D0B29" w:rsidRDefault="00C31B03" w:rsidP="00AB5130">
      <w:pPr>
        <w:pStyle w:val="Akapitzlist"/>
        <w:numPr>
          <w:ilvl w:val="0"/>
          <w:numId w:val="1"/>
        </w:numPr>
        <w:ind w:left="0" w:firstLine="0"/>
        <w:jc w:val="both"/>
      </w:pPr>
      <w:r>
        <w:t>p</w:t>
      </w:r>
      <w:r w:rsidR="001D0B29">
        <w:t xml:space="preserve">lanie działalności – należy przez to rozumieć plan działalności, sporządzony </w:t>
      </w:r>
      <w:r w:rsidR="00142F14">
        <w:t xml:space="preserve">przez jednostki w dziale </w:t>
      </w:r>
      <w:r w:rsidR="001D0B29">
        <w:t>na podstawie planu działalności Ministra Sprawiedliwości;</w:t>
      </w:r>
    </w:p>
    <w:p w:rsidR="00F40250" w:rsidRDefault="005533D5" w:rsidP="00AB5130">
      <w:pPr>
        <w:pStyle w:val="Akapitzlist"/>
        <w:numPr>
          <w:ilvl w:val="0"/>
          <w:numId w:val="1"/>
        </w:numPr>
        <w:ind w:left="0" w:firstLine="0"/>
        <w:jc w:val="both"/>
      </w:pPr>
      <w:r>
        <w:t>s</w:t>
      </w:r>
      <w:r w:rsidR="00F40250">
        <w:t>prawozdaniu z wykonania planu działalności – należy przez to rozumieć sp</w:t>
      </w:r>
      <w:r w:rsidR="005C24E4">
        <w:t xml:space="preserve">rawozdanie </w:t>
      </w:r>
      <w:r w:rsidR="002F42A5">
        <w:br/>
      </w:r>
      <w:r w:rsidR="005C24E4">
        <w:t>z wykonania planu działalności</w:t>
      </w:r>
      <w:r w:rsidR="00F40250">
        <w:t>, sporządzone zgodnie</w:t>
      </w:r>
      <w:r w:rsidR="00553C5F">
        <w:t xml:space="preserve"> </w:t>
      </w:r>
      <w:r w:rsidR="00F40250">
        <w:t>z rozporządzeniem wydanym na podstawie art. 70 ust. 7 ustawy o finansach publicznych;</w:t>
      </w:r>
    </w:p>
    <w:p w:rsidR="00F40250" w:rsidRDefault="005533D5" w:rsidP="00AB5130">
      <w:pPr>
        <w:pStyle w:val="Akapitzlist"/>
        <w:numPr>
          <w:ilvl w:val="0"/>
          <w:numId w:val="1"/>
        </w:numPr>
        <w:ind w:left="0" w:firstLine="0"/>
        <w:jc w:val="both"/>
      </w:pPr>
      <w:r>
        <w:t>o</w:t>
      </w:r>
      <w:r w:rsidR="00F40250">
        <w:t>świadczeniu o stanie kontroli zarządczej – należy przez to rozumieć oświadczenie o stanie kontroli zarządczej, sporządzone według wzoru, stanowiącego załącznik do rozporządzenia Ministra Finansów z dnia 2 grudnia 2010 r. (Dz. U.  Nr 238, poz. 1581);</w:t>
      </w:r>
    </w:p>
    <w:p w:rsidR="00DF3464" w:rsidRDefault="005533D5" w:rsidP="0066676A">
      <w:pPr>
        <w:pStyle w:val="Akapitzlist"/>
        <w:numPr>
          <w:ilvl w:val="0"/>
          <w:numId w:val="1"/>
        </w:numPr>
        <w:ind w:left="0" w:firstLine="0"/>
        <w:jc w:val="both"/>
      </w:pPr>
      <w:r>
        <w:t>s</w:t>
      </w:r>
      <w:r w:rsidR="00F40250">
        <w:t xml:space="preserve">tandardach kontroli zarządczej – należy przez to rozumieć standardy określone </w:t>
      </w:r>
      <w:r w:rsidR="00E96290">
        <w:br/>
      </w:r>
      <w:r w:rsidR="00F40250">
        <w:t>w Komunikacie nr 23 Ministra Finansów z dnia 16 grudnia 2009 r. w sprawie standardów kontroli zarządczej dla sektora finansów publicznych (Dz. Urz</w:t>
      </w:r>
      <w:r w:rsidR="0066676A">
        <w:t>. M</w:t>
      </w:r>
      <w:r w:rsidR="0073538A">
        <w:t xml:space="preserve">in. </w:t>
      </w:r>
      <w:r w:rsidR="0066676A">
        <w:t>F</w:t>
      </w:r>
      <w:r w:rsidR="0073538A">
        <w:t>in.</w:t>
      </w:r>
      <w:r w:rsidR="0066676A">
        <w:t xml:space="preserve"> Nr 15, poz. 84)</w:t>
      </w:r>
      <w:r w:rsidR="00A53955">
        <w:t>;</w:t>
      </w:r>
    </w:p>
    <w:p w:rsidR="00C01024" w:rsidRPr="00A53955" w:rsidRDefault="005533D5" w:rsidP="00A53955">
      <w:pPr>
        <w:pStyle w:val="Akapitzlist"/>
        <w:numPr>
          <w:ilvl w:val="0"/>
          <w:numId w:val="1"/>
        </w:numPr>
        <w:ind w:left="0" w:firstLine="0"/>
        <w:jc w:val="both"/>
      </w:pPr>
      <w:r>
        <w:t>w</w:t>
      </w:r>
      <w:r w:rsidR="00A53955">
        <w:t xml:space="preserve">ytycznych Ministerstwa Finansów – należy przez to rozumieć </w:t>
      </w:r>
      <w:r w:rsidR="00EE2575" w:rsidRPr="00A53955">
        <w:t>Komunikat nr 6 Ministra Finansów z dnia 6 grudnia 2012 r. w sprawie szczegółowych wytycznych dla sektora finansów publicznych w zakresie planowania i zarządzania ryzykiem (</w:t>
      </w:r>
      <w:proofErr w:type="spellStart"/>
      <w:r w:rsidR="00EE2575" w:rsidRPr="00A53955">
        <w:t>Dz.Urz</w:t>
      </w:r>
      <w:proofErr w:type="spellEnd"/>
      <w:r w:rsidR="00EE2575" w:rsidRPr="00A53955">
        <w:t>. M</w:t>
      </w:r>
      <w:r w:rsidR="00C31B03">
        <w:t xml:space="preserve">in. </w:t>
      </w:r>
      <w:r w:rsidR="00EE2575" w:rsidRPr="00A53955">
        <w:t>F</w:t>
      </w:r>
      <w:r>
        <w:t>in</w:t>
      </w:r>
      <w:r w:rsidR="00C31B03">
        <w:t>. poz.</w:t>
      </w:r>
      <w:r w:rsidR="007E0B71">
        <w:t xml:space="preserve"> </w:t>
      </w:r>
      <w:r w:rsidR="00EE2575" w:rsidRPr="00A53955">
        <w:t>56)</w:t>
      </w:r>
      <w:r w:rsidR="005C24E4">
        <w:t>.</w:t>
      </w:r>
    </w:p>
    <w:p w:rsidR="00DF3464" w:rsidRDefault="00035D93" w:rsidP="00FE116D">
      <w:pPr>
        <w:jc w:val="both"/>
      </w:pPr>
      <w:r>
        <w:t>§</w:t>
      </w:r>
      <w:r w:rsidR="005533D5">
        <w:t xml:space="preserve"> </w:t>
      </w:r>
      <w:r>
        <w:t>2.</w:t>
      </w:r>
      <w:r w:rsidR="0018648D">
        <w:t xml:space="preserve"> </w:t>
      </w:r>
      <w:r w:rsidR="005A799B">
        <w:t xml:space="preserve">1. </w:t>
      </w:r>
      <w:r w:rsidR="00DF3464">
        <w:t>Minister Sp</w:t>
      </w:r>
      <w:r w:rsidR="00F65DE6">
        <w:t xml:space="preserve">rawiedliwości zapewnia funkcjonowanie adekwatnej, skutecznej i efektywnej kontroli zarządczej w kierowanym przez niego dziale administracji rządowej, w zakresie spraw niezastrzeżonych odrębnymi przepisami do kompetencji innych organów państwowych </w:t>
      </w:r>
      <w:r w:rsidR="00116EB4">
        <w:br/>
      </w:r>
      <w:r w:rsidR="00F65DE6">
        <w:t>i z uwzględnieniem za</w:t>
      </w:r>
      <w:r w:rsidR="00DF3464">
        <w:t>sady niezawisłości sędziowskiej</w:t>
      </w:r>
      <w:r w:rsidR="00E91587">
        <w:t xml:space="preserve"> oraz niezależności prokuratury</w:t>
      </w:r>
      <w:r w:rsidR="00DF3464">
        <w:t>, z zastrzeżeniem ust. 2</w:t>
      </w:r>
      <w:r w:rsidR="00561917">
        <w:t xml:space="preserve"> i</w:t>
      </w:r>
      <w:r w:rsidR="00804FB5">
        <w:t xml:space="preserve"> 3</w:t>
      </w:r>
      <w:r w:rsidR="00DF3464">
        <w:t>.</w:t>
      </w:r>
    </w:p>
    <w:p w:rsidR="00DF3464" w:rsidRDefault="00DF3464" w:rsidP="00FE116D">
      <w:pPr>
        <w:jc w:val="both"/>
      </w:pPr>
      <w:r>
        <w:lastRenderedPageBreak/>
        <w:t xml:space="preserve">2. Zapewnienie funkcjonowania kontroli zarządczej </w:t>
      </w:r>
      <w:r w:rsidR="00804FB5">
        <w:t xml:space="preserve">na I poziomie </w:t>
      </w:r>
      <w:r>
        <w:t>należy do obowiązków:</w:t>
      </w:r>
    </w:p>
    <w:p w:rsidR="00DF3464" w:rsidRDefault="00DF3464" w:rsidP="00B3128E">
      <w:pPr>
        <w:tabs>
          <w:tab w:val="left" w:pos="284"/>
        </w:tabs>
        <w:jc w:val="both"/>
      </w:pPr>
      <w:r>
        <w:t>1)</w:t>
      </w:r>
      <w:r w:rsidR="00B3128E">
        <w:t xml:space="preserve"> </w:t>
      </w:r>
      <w:r>
        <w:t>w Ministerstwie Sprawiedliw</w:t>
      </w:r>
      <w:r w:rsidR="00B53853">
        <w:t xml:space="preserve">ości – Ministra Sprawiedliwości za pośrednictwem </w:t>
      </w:r>
      <w:r w:rsidR="00D725C1">
        <w:t>Dyrektor</w:t>
      </w:r>
      <w:r w:rsidR="00B53853">
        <w:t>a</w:t>
      </w:r>
      <w:r w:rsidR="00D725C1">
        <w:t xml:space="preserve"> Generaln</w:t>
      </w:r>
      <w:r w:rsidR="00B53853">
        <w:t>ego</w:t>
      </w:r>
      <w:r w:rsidR="006C68DC">
        <w:t>;</w:t>
      </w:r>
    </w:p>
    <w:p w:rsidR="00DF3464" w:rsidRDefault="005A799B" w:rsidP="00FE116D">
      <w:pPr>
        <w:jc w:val="both"/>
      </w:pPr>
      <w:r>
        <w:t>2) w Prokuraturze G</w:t>
      </w:r>
      <w:r w:rsidR="00DF3464">
        <w:t xml:space="preserve">eneralnej – Prokuratora </w:t>
      </w:r>
      <w:r>
        <w:t>G</w:t>
      </w:r>
      <w:r w:rsidR="00DF3464">
        <w:t>eneralnego</w:t>
      </w:r>
      <w:r w:rsidR="006C68DC">
        <w:t>;</w:t>
      </w:r>
    </w:p>
    <w:p w:rsidR="005A799B" w:rsidRPr="00684624" w:rsidRDefault="00DF3464" w:rsidP="00FE116D">
      <w:pPr>
        <w:jc w:val="both"/>
      </w:pPr>
      <w:r>
        <w:t>3) w jednostkach organizacyjnych sądownictwa powszechnego – prezesa i dyrektora sądu w zakresie zadań przypisanych w ustawie</w:t>
      </w:r>
      <w:r w:rsidR="00BE5397" w:rsidRPr="00BE5397">
        <w:t xml:space="preserve"> z dnia 27 lipca 2001 r. </w:t>
      </w:r>
      <w:r w:rsidR="00BE5397" w:rsidRPr="00684624">
        <w:t>– Prawo o ustroju sądów powszec</w:t>
      </w:r>
      <w:r w:rsidR="00F31545">
        <w:t>hnych (</w:t>
      </w:r>
      <w:proofErr w:type="spellStart"/>
      <w:r w:rsidR="00F31545">
        <w:t>Dz.U</w:t>
      </w:r>
      <w:proofErr w:type="spellEnd"/>
      <w:r w:rsidR="00F31545">
        <w:t xml:space="preserve">. </w:t>
      </w:r>
      <w:r w:rsidR="00214BF6">
        <w:br/>
      </w:r>
      <w:r w:rsidR="00F31545">
        <w:t>z 2013 r. poz. 427</w:t>
      </w:r>
      <w:r w:rsidR="009B47FA">
        <w:t xml:space="preserve">, z </w:t>
      </w:r>
      <w:proofErr w:type="spellStart"/>
      <w:r w:rsidR="009B47FA">
        <w:t>późn</w:t>
      </w:r>
      <w:proofErr w:type="spellEnd"/>
      <w:r w:rsidR="009B47FA">
        <w:t>. zm.</w:t>
      </w:r>
      <w:r w:rsidR="009B47FA">
        <w:rPr>
          <w:rStyle w:val="Odwoanieprzypisudolnego"/>
        </w:rPr>
        <w:footnoteReference w:id="1"/>
      </w:r>
      <w:r w:rsidR="009B47FA">
        <w:rPr>
          <w:vertAlign w:val="superscript"/>
        </w:rPr>
        <w:t>)</w:t>
      </w:r>
      <w:r w:rsidR="00BE5397" w:rsidRPr="00684624">
        <w:t>)</w:t>
      </w:r>
      <w:r w:rsidR="006C68DC" w:rsidRPr="00684624">
        <w:t>;</w:t>
      </w:r>
    </w:p>
    <w:p w:rsidR="00804FB5" w:rsidRPr="00565D5D" w:rsidRDefault="005A799B" w:rsidP="00FE116D">
      <w:pPr>
        <w:jc w:val="both"/>
      </w:pPr>
      <w:r w:rsidRPr="00565D5D">
        <w:t>4) w powszechnych jednostkach organizacyjnych prokurat</w:t>
      </w:r>
      <w:r w:rsidR="00804FB5" w:rsidRPr="00565D5D">
        <w:t>ury, z wyłączeniem Prokuratury G</w:t>
      </w:r>
      <w:r w:rsidRPr="00565D5D">
        <w:t xml:space="preserve">eneralnej – prokuratora apelacyjnego oraz prokuratora okręgowego w zakresie zadań przypisanych w ustawie </w:t>
      </w:r>
      <w:r w:rsidR="00CD61EC">
        <w:br/>
      </w:r>
      <w:r w:rsidR="00BE5397" w:rsidRPr="0097027E">
        <w:t>z dnia 20 czerwca 1985 r. o prokuraturze (Dz. U. z 2011 r. Nr 270, poz. 1599</w:t>
      </w:r>
      <w:r w:rsidR="00251BB8">
        <w:t xml:space="preserve"> oraz</w:t>
      </w:r>
      <w:r w:rsidR="00251BB8" w:rsidRPr="00251BB8">
        <w:t xml:space="preserve"> z 2012 r. poz. 637</w:t>
      </w:r>
      <w:r w:rsidR="00BE5397" w:rsidRPr="00784E8F">
        <w:t>)</w:t>
      </w:r>
      <w:r w:rsidR="006C68DC" w:rsidRPr="00684624">
        <w:t>;</w:t>
      </w:r>
    </w:p>
    <w:p w:rsidR="00804FB5" w:rsidRDefault="00804FB5" w:rsidP="00FE116D">
      <w:pPr>
        <w:jc w:val="both"/>
      </w:pPr>
      <w:r>
        <w:t xml:space="preserve">5) w Centralnym Zarządzie Służby Więziennej – Dyrektora </w:t>
      </w:r>
      <w:r w:rsidR="00896A1C">
        <w:t>G</w:t>
      </w:r>
      <w:r>
        <w:t>eneralnego Służby Więziennej</w:t>
      </w:r>
      <w:r w:rsidR="006C68DC">
        <w:t>;</w:t>
      </w:r>
    </w:p>
    <w:p w:rsidR="00804FB5" w:rsidRDefault="00804FB5" w:rsidP="00FE116D">
      <w:pPr>
        <w:jc w:val="both"/>
      </w:pPr>
      <w:r>
        <w:t>6) w zakładach poprawczych i schroniskach dla nieletnich – dyrektora</w:t>
      </w:r>
      <w:r w:rsidR="006C68DC">
        <w:t>;</w:t>
      </w:r>
    </w:p>
    <w:p w:rsidR="00116EB4" w:rsidRDefault="00116EB4" w:rsidP="00FE116D">
      <w:pPr>
        <w:jc w:val="both"/>
      </w:pPr>
      <w:r>
        <w:t xml:space="preserve">7) w jednostkach organizacyjnych Służby Więziennej, z wyłączeniem Centralnego Zarządu Służby Więziennej – </w:t>
      </w:r>
      <w:r w:rsidR="005C24E4">
        <w:t>kierownika jednostki</w:t>
      </w:r>
      <w:r w:rsidR="006C68DC">
        <w:t>;</w:t>
      </w:r>
    </w:p>
    <w:p w:rsidR="00116EB4" w:rsidRDefault="00116EB4" w:rsidP="00FE116D">
      <w:pPr>
        <w:jc w:val="both"/>
      </w:pPr>
      <w:r>
        <w:t>8</w:t>
      </w:r>
      <w:r w:rsidR="00804FB5">
        <w:t xml:space="preserve">) w Instytucie Wymiaru Sprawiedliwości, Instytucie Ekspertyz Sądowych im. </w:t>
      </w:r>
      <w:r w:rsidR="00896A1C">
        <w:t>p</w:t>
      </w:r>
      <w:r w:rsidR="00804FB5">
        <w:t xml:space="preserve">rof. </w:t>
      </w:r>
      <w:r w:rsidR="00896A1C">
        <w:t>d</w:t>
      </w:r>
      <w:r w:rsidR="00804FB5">
        <w:t xml:space="preserve">ra Jana </w:t>
      </w:r>
      <w:proofErr w:type="spellStart"/>
      <w:r w:rsidR="00804FB5">
        <w:t>Sehna</w:t>
      </w:r>
      <w:proofErr w:type="spellEnd"/>
      <w:r w:rsidR="00804FB5">
        <w:t xml:space="preserve"> </w:t>
      </w:r>
      <w:r>
        <w:br/>
      </w:r>
      <w:r w:rsidR="00804FB5">
        <w:t>w Krakowie</w:t>
      </w:r>
      <w:r w:rsidR="00896A1C">
        <w:t xml:space="preserve">, Krajowej Szkole Sądownictwa i Prokuratury </w:t>
      </w:r>
      <w:r w:rsidR="003634A9">
        <w:t>–</w:t>
      </w:r>
      <w:r w:rsidR="00896A1C">
        <w:t xml:space="preserve"> </w:t>
      </w:r>
      <w:r>
        <w:t>dyrektora.</w:t>
      </w:r>
    </w:p>
    <w:p w:rsidR="00116EB4" w:rsidRDefault="00116EB4" w:rsidP="00FE116D">
      <w:pPr>
        <w:jc w:val="both"/>
      </w:pPr>
      <w:r>
        <w:t>3. Zapewnienie funkcjonowania kontroli zarządczej na II poziomie należy do obowiązków:</w:t>
      </w:r>
    </w:p>
    <w:p w:rsidR="00116EB4" w:rsidRDefault="00B53853" w:rsidP="00FE116D">
      <w:pPr>
        <w:jc w:val="both"/>
      </w:pPr>
      <w:r>
        <w:t xml:space="preserve">1) prezesa sądu </w:t>
      </w:r>
      <w:r w:rsidR="00561B0C">
        <w:t>nadrzędnego</w:t>
      </w:r>
      <w:r w:rsidR="00B3128E">
        <w:t xml:space="preserve"> – </w:t>
      </w:r>
      <w:r w:rsidR="00116EB4">
        <w:t>w</w:t>
      </w:r>
      <w:r w:rsidR="00B3128E">
        <w:t xml:space="preserve"> </w:t>
      </w:r>
      <w:r w:rsidR="00116EB4">
        <w:t xml:space="preserve">zakresie zadań przypisanych temu organowi w ustawie – Prawo </w:t>
      </w:r>
      <w:r w:rsidR="00DE1404">
        <w:br/>
      </w:r>
      <w:r w:rsidR="00116EB4">
        <w:t>o ustroju sądów powszechnych</w:t>
      </w:r>
      <w:r w:rsidR="00DE1404">
        <w:t xml:space="preserve"> </w:t>
      </w:r>
      <w:r w:rsidR="003634A9">
        <w:t>–</w:t>
      </w:r>
      <w:r w:rsidR="00DE1404">
        <w:t xml:space="preserve"> wobec sądów podległych</w:t>
      </w:r>
      <w:r w:rsidR="006C68DC">
        <w:t>;</w:t>
      </w:r>
    </w:p>
    <w:p w:rsidR="00116EB4" w:rsidRDefault="00116EB4" w:rsidP="00116EB4">
      <w:pPr>
        <w:jc w:val="both"/>
      </w:pPr>
      <w:r>
        <w:t xml:space="preserve">2) dyrektora sądu apelacyjnego – w zakresie zadań przypisanych temu organowi w </w:t>
      </w:r>
      <w:r w:rsidR="00BE5397">
        <w:t>ustawie</w:t>
      </w:r>
      <w:r w:rsidR="00A667D9">
        <w:t xml:space="preserve"> </w:t>
      </w:r>
      <w:r>
        <w:t xml:space="preserve">– Prawo </w:t>
      </w:r>
      <w:r w:rsidR="00DE1404">
        <w:br/>
      </w:r>
      <w:r>
        <w:t>o ustroju sądów powszechnych</w:t>
      </w:r>
      <w:r w:rsidR="004B0129">
        <w:t xml:space="preserve"> </w:t>
      </w:r>
      <w:r w:rsidR="003634A9">
        <w:t>–</w:t>
      </w:r>
      <w:r w:rsidR="00DE1404">
        <w:t xml:space="preserve"> wobec sądów podległych</w:t>
      </w:r>
      <w:r w:rsidR="006C68DC">
        <w:t>;</w:t>
      </w:r>
    </w:p>
    <w:p w:rsidR="00116EB4" w:rsidRDefault="00116EB4" w:rsidP="00FE116D">
      <w:pPr>
        <w:jc w:val="both"/>
      </w:pPr>
      <w:r>
        <w:t xml:space="preserve">3) </w:t>
      </w:r>
      <w:r w:rsidR="00DE1404">
        <w:t>Prokuratora Generalnego – wobec prokuratur</w:t>
      </w:r>
      <w:r w:rsidR="001132DC">
        <w:t xml:space="preserve"> podległych</w:t>
      </w:r>
      <w:r w:rsidR="00DE1404">
        <w:t>,</w:t>
      </w:r>
      <w:r w:rsidR="001132DC">
        <w:t xml:space="preserve"> zgodnie z ustaw</w:t>
      </w:r>
      <w:r w:rsidR="003634A9">
        <w:t xml:space="preserve">ą </w:t>
      </w:r>
      <w:r w:rsidR="001132DC">
        <w:t>o prokuraturze</w:t>
      </w:r>
      <w:r w:rsidR="006C68DC">
        <w:t>;</w:t>
      </w:r>
    </w:p>
    <w:p w:rsidR="00DE1404" w:rsidRDefault="00DE1404" w:rsidP="00FE116D">
      <w:pPr>
        <w:jc w:val="both"/>
      </w:pPr>
      <w:r>
        <w:t>4) prokuratorów apelacyjnych – wobec prokuratur podległych,</w:t>
      </w:r>
      <w:r w:rsidR="00553C5F">
        <w:t xml:space="preserve"> zgodnie z ustawą o prokuraturze</w:t>
      </w:r>
      <w:r w:rsidR="006C68DC">
        <w:t>;</w:t>
      </w:r>
    </w:p>
    <w:p w:rsidR="00DE1404" w:rsidRDefault="00DE1404" w:rsidP="00FE116D">
      <w:pPr>
        <w:jc w:val="both"/>
      </w:pPr>
      <w:r>
        <w:t xml:space="preserve">5) Dyrektora Generalnego Służby Więziennej – wobec </w:t>
      </w:r>
      <w:r w:rsidR="009B08D6">
        <w:t xml:space="preserve">podległych </w:t>
      </w:r>
      <w:r>
        <w:t>jednostek organizacyjnych Służby Więziennej</w:t>
      </w:r>
      <w:r w:rsidR="006C68DC">
        <w:t>;</w:t>
      </w:r>
    </w:p>
    <w:p w:rsidR="009B08D6" w:rsidRPr="00000FAF" w:rsidRDefault="009B08D6" w:rsidP="00FE116D">
      <w:pPr>
        <w:jc w:val="both"/>
      </w:pPr>
      <w:r w:rsidRPr="00000FAF">
        <w:t>6) dyrektor</w:t>
      </w:r>
      <w:r w:rsidR="000D09FE" w:rsidRPr="00784E8F">
        <w:t xml:space="preserve">ów okręgowych Służby Więziennej </w:t>
      </w:r>
      <w:r w:rsidR="003634A9" w:rsidRPr="00000FAF">
        <w:t>–</w:t>
      </w:r>
      <w:r w:rsidR="000D09FE" w:rsidRPr="00214BF6">
        <w:t xml:space="preserve"> wobec podległych zakładów karnych i aresztów śledczych</w:t>
      </w:r>
      <w:r w:rsidR="006C68DC" w:rsidRPr="00000FAF">
        <w:t>;</w:t>
      </w:r>
    </w:p>
    <w:p w:rsidR="00DE1404" w:rsidRDefault="009B08D6" w:rsidP="00FE116D">
      <w:pPr>
        <w:jc w:val="both"/>
      </w:pPr>
      <w:r>
        <w:t>7</w:t>
      </w:r>
      <w:r w:rsidR="00DE1404">
        <w:t xml:space="preserve">) Dyrektora Departamentu Wykonania Orzeczeń i Probacji – wobec zakładów poprawczych </w:t>
      </w:r>
      <w:r w:rsidR="00DE1404">
        <w:br/>
        <w:t>i schronisk dla nieletnich.</w:t>
      </w:r>
    </w:p>
    <w:p w:rsidR="000918C3" w:rsidRDefault="00984C94" w:rsidP="00FE116D">
      <w:pPr>
        <w:jc w:val="both"/>
      </w:pPr>
      <w:r>
        <w:t>§</w:t>
      </w:r>
      <w:r w:rsidR="006C68DC">
        <w:t xml:space="preserve"> </w:t>
      </w:r>
      <w:r>
        <w:t xml:space="preserve">3. </w:t>
      </w:r>
      <w:r w:rsidR="000918C3">
        <w:t>Podmioty wymienione w §</w:t>
      </w:r>
      <w:r w:rsidR="006D51C8">
        <w:t xml:space="preserve"> </w:t>
      </w:r>
      <w:r w:rsidR="000918C3">
        <w:t xml:space="preserve">2 ust. 2 i 3 na bieżąco podejmują działania w celu zapewnienia funkcjonowania adekwatnej, skutecznej i efektywnej kontroli zarządczej w nadzorowanych lub </w:t>
      </w:r>
      <w:r w:rsidR="000918C3">
        <w:lastRenderedPageBreak/>
        <w:t>kierowanych jednostkach w dziale, zgodnie ze standardami kontroli zarządczej dla sektora finansów publicznych.</w:t>
      </w:r>
    </w:p>
    <w:p w:rsidR="00984C94" w:rsidRDefault="000918C3" w:rsidP="00FE116D">
      <w:pPr>
        <w:jc w:val="both"/>
      </w:pPr>
      <w:r>
        <w:t>§</w:t>
      </w:r>
      <w:r w:rsidR="006C68DC">
        <w:t xml:space="preserve"> </w:t>
      </w:r>
      <w:r>
        <w:t xml:space="preserve">4. </w:t>
      </w:r>
      <w:r w:rsidR="00984C94">
        <w:t xml:space="preserve">Obowiązki koordynatora kontroli zarządczej w dziale wykonuje Departament Strategii </w:t>
      </w:r>
      <w:r w:rsidR="00B3128E">
        <w:br/>
      </w:r>
      <w:r w:rsidR="00984C94">
        <w:t>i Deregulacji, stosownie do kompetencji przyznanych w Regulaminie organizacyjnym Ministerstwa Sprawiedliwości</w:t>
      </w:r>
      <w:r w:rsidR="004E79B6">
        <w:t>.</w:t>
      </w:r>
    </w:p>
    <w:p w:rsidR="006B2E0C" w:rsidRDefault="000918C3" w:rsidP="00FE116D">
      <w:pPr>
        <w:jc w:val="both"/>
      </w:pPr>
      <w:r>
        <w:t>§</w:t>
      </w:r>
      <w:r w:rsidR="006C68DC">
        <w:t xml:space="preserve"> </w:t>
      </w:r>
      <w:r>
        <w:t xml:space="preserve">5. </w:t>
      </w:r>
      <w:r w:rsidR="00984C94">
        <w:t>Doradztwo na rzecz Ministra Sprawiedliwości w zakresie zapewnienia funkcjonowania adekwatnej, skutecznej i efektywnej kontroli zarządczej oraz skutecznego au</w:t>
      </w:r>
      <w:r w:rsidR="00CB2DDF">
        <w:t xml:space="preserve">dytu wewnętrznego świadczy Komitet Audytu w składzie i w </w:t>
      </w:r>
      <w:r w:rsidR="00A53955">
        <w:t>ramach kompetencji</w:t>
      </w:r>
      <w:r w:rsidR="00CB2DDF">
        <w:t xml:space="preserve"> </w:t>
      </w:r>
      <w:r w:rsidR="00A53955">
        <w:t>wskazanych</w:t>
      </w:r>
      <w:r w:rsidR="004E79B6">
        <w:t xml:space="preserve"> w Regulaminie Komitetu Audytu dla działu administ</w:t>
      </w:r>
      <w:r w:rsidR="00A53955">
        <w:t>racji rządowej – sprawiedliwość</w:t>
      </w:r>
      <w:r w:rsidR="00CB2DDF">
        <w:t>.</w:t>
      </w:r>
    </w:p>
    <w:p w:rsidR="006B2E0C" w:rsidRPr="006B2E0C" w:rsidRDefault="006B2E0C" w:rsidP="006B2E0C">
      <w:pPr>
        <w:jc w:val="center"/>
        <w:rPr>
          <w:b/>
        </w:rPr>
      </w:pPr>
      <w:r w:rsidRPr="006B2E0C">
        <w:rPr>
          <w:b/>
        </w:rPr>
        <w:t>Rozdział II</w:t>
      </w:r>
    </w:p>
    <w:p w:rsidR="006B2E0C" w:rsidRPr="006B2E0C" w:rsidRDefault="006B2E0C" w:rsidP="006B2E0C">
      <w:pPr>
        <w:jc w:val="center"/>
        <w:rPr>
          <w:b/>
        </w:rPr>
      </w:pPr>
      <w:r w:rsidRPr="006B2E0C">
        <w:rPr>
          <w:b/>
        </w:rPr>
        <w:t>Planowanie działalności</w:t>
      </w:r>
    </w:p>
    <w:p w:rsidR="00EE1039" w:rsidRDefault="006B2E0C" w:rsidP="00EE1039">
      <w:pPr>
        <w:jc w:val="both"/>
      </w:pPr>
      <w:r>
        <w:t>§</w:t>
      </w:r>
      <w:r w:rsidR="006C68DC">
        <w:t xml:space="preserve"> </w:t>
      </w:r>
      <w:r>
        <w:t xml:space="preserve">6. </w:t>
      </w:r>
      <w:r w:rsidR="00384ACA">
        <w:t>Określanie celów i zadań stanowi najważniejszy proces kontroli zarządczej oraz istotne kryterium dokonywania jej oceny.</w:t>
      </w:r>
    </w:p>
    <w:p w:rsidR="000D19B3" w:rsidRDefault="00EE1039" w:rsidP="00EE1039">
      <w:pPr>
        <w:jc w:val="both"/>
      </w:pPr>
      <w:r>
        <w:t>§</w:t>
      </w:r>
      <w:r w:rsidR="006C68DC">
        <w:t xml:space="preserve"> </w:t>
      </w:r>
      <w:r>
        <w:t>7. Wyznaczanie celów i zadań w dziale realizowane jest w sposób kaskadowy od szczebla Mi</w:t>
      </w:r>
      <w:r w:rsidR="00561917">
        <w:t>nistra</w:t>
      </w:r>
      <w:r>
        <w:t xml:space="preserve"> poprzez poszczególne szczeble struktury organizacyjnej</w:t>
      </w:r>
      <w:r w:rsidR="00622581">
        <w:t xml:space="preserve"> działu</w:t>
      </w:r>
      <w:r w:rsidR="000B5AF7">
        <w:t>, z zastrzeżeniem §</w:t>
      </w:r>
      <w:r w:rsidR="0018648D">
        <w:t xml:space="preserve"> </w:t>
      </w:r>
      <w:r w:rsidR="000B5AF7">
        <w:t>17</w:t>
      </w:r>
      <w:r>
        <w:t>.</w:t>
      </w:r>
    </w:p>
    <w:p w:rsidR="007212ED" w:rsidRDefault="00EE1039" w:rsidP="00FE116D">
      <w:pPr>
        <w:jc w:val="both"/>
      </w:pPr>
      <w:r>
        <w:t>§</w:t>
      </w:r>
      <w:r w:rsidR="006C68DC">
        <w:t xml:space="preserve"> </w:t>
      </w:r>
      <w:r>
        <w:t>8.</w:t>
      </w:r>
      <w:r w:rsidR="006C68DC">
        <w:t xml:space="preserve"> </w:t>
      </w:r>
      <w:r w:rsidR="00425993">
        <w:t>1.</w:t>
      </w:r>
      <w:r>
        <w:t xml:space="preserve"> </w:t>
      </w:r>
      <w:r w:rsidR="002F693D">
        <w:t xml:space="preserve">Podstawę </w:t>
      </w:r>
      <w:r w:rsidR="007212ED">
        <w:t>sporządzenia planu działalności Ministra dla działu stanowi, zaakceptowana przez Kierownictwo Ministerstwa Sprawiedliwości i przeprowadzona przez Departament Strategii i Deregulacji</w:t>
      </w:r>
      <w:r w:rsidR="00AD2755">
        <w:t>,</w:t>
      </w:r>
      <w:r w:rsidR="007212ED">
        <w:t xml:space="preserve"> analiza uwarunkowań strategicznych </w:t>
      </w:r>
      <w:r w:rsidR="00C850A9">
        <w:t>zawierająca propozycje celów do planu działalności</w:t>
      </w:r>
      <w:r w:rsidR="00425993">
        <w:t>.</w:t>
      </w:r>
    </w:p>
    <w:p w:rsidR="005026DB" w:rsidRDefault="005026DB" w:rsidP="00FE116D">
      <w:pPr>
        <w:jc w:val="both"/>
      </w:pPr>
      <w:r>
        <w:t xml:space="preserve">2. Na podstawie zaakceptowanej analizy uwarunkowań strategicznych Departament Strategii </w:t>
      </w:r>
      <w:r w:rsidR="0075418E">
        <w:br/>
      </w:r>
      <w:r>
        <w:t>i Deregulacji koordynuje proces ustalania wartości mierników i najważniejszych zadań służących realizacji celów.</w:t>
      </w:r>
    </w:p>
    <w:p w:rsidR="00C850A9" w:rsidRDefault="00A05505" w:rsidP="00FE116D">
      <w:pPr>
        <w:jc w:val="both"/>
      </w:pPr>
      <w:r>
        <w:t>§</w:t>
      </w:r>
      <w:r w:rsidR="006C68DC">
        <w:t xml:space="preserve"> </w:t>
      </w:r>
      <w:r w:rsidR="005026DB">
        <w:t>9</w:t>
      </w:r>
      <w:r>
        <w:t>.</w:t>
      </w:r>
      <w:r w:rsidR="005132EA">
        <w:t xml:space="preserve"> </w:t>
      </w:r>
      <w:r w:rsidR="00C850A9">
        <w:t>Przygotowany przez Departament Strategii i Deregulacji i zatwierdzony przez Ministra Sprawiedliwości projekt planu działalności dla działu przekazywany jest do dnia 31 października Prezesowi Rady Ministrów</w:t>
      </w:r>
      <w:r w:rsidR="00834711">
        <w:t>, z zastrzeżeniem §</w:t>
      </w:r>
      <w:r w:rsidR="006D51C8">
        <w:t xml:space="preserve"> </w:t>
      </w:r>
      <w:r w:rsidR="00834711">
        <w:t>17</w:t>
      </w:r>
      <w:r w:rsidR="00F9469C">
        <w:t>.</w:t>
      </w:r>
    </w:p>
    <w:p w:rsidR="007D6F49" w:rsidRDefault="006F6F68" w:rsidP="00FE116D">
      <w:pPr>
        <w:jc w:val="both"/>
      </w:pPr>
      <w:r>
        <w:t>§</w:t>
      </w:r>
      <w:r w:rsidR="006C68DC">
        <w:t xml:space="preserve"> </w:t>
      </w:r>
      <w:r>
        <w:t>1</w:t>
      </w:r>
      <w:r w:rsidR="005026DB">
        <w:t>0</w:t>
      </w:r>
      <w:r>
        <w:t>.</w:t>
      </w:r>
      <w:r w:rsidR="007D6F49">
        <w:t xml:space="preserve"> </w:t>
      </w:r>
      <w:r w:rsidR="00C850A9">
        <w:t xml:space="preserve">Niezwłocznie po </w:t>
      </w:r>
      <w:r w:rsidR="00A53955">
        <w:t>zatwierdzeniu przez Ministra Sprawiedliwości</w:t>
      </w:r>
      <w:r w:rsidR="00A05505">
        <w:t xml:space="preserve"> plan działalności </w:t>
      </w:r>
      <w:r w:rsidR="00AD2755">
        <w:t xml:space="preserve">jest publikowany </w:t>
      </w:r>
      <w:r w:rsidR="007D6F49">
        <w:t xml:space="preserve">w Biuletynie Informacji Publicznej oraz </w:t>
      </w:r>
      <w:r w:rsidR="00AD2755">
        <w:t xml:space="preserve">przekazany </w:t>
      </w:r>
      <w:r w:rsidR="007D6F49">
        <w:t>do</w:t>
      </w:r>
      <w:r w:rsidR="00812A1F">
        <w:t xml:space="preserve"> jednostek </w:t>
      </w:r>
      <w:r w:rsidR="007D6F49">
        <w:br/>
      </w:r>
      <w:r w:rsidR="00812A1F">
        <w:t>w dziale</w:t>
      </w:r>
      <w:r w:rsidR="00B030C4">
        <w:t>, w celu sporządzenia przez nie</w:t>
      </w:r>
      <w:r w:rsidR="006E5F04">
        <w:t xml:space="preserve"> planów działalności</w:t>
      </w:r>
      <w:r w:rsidR="007D6F49">
        <w:t>.</w:t>
      </w:r>
    </w:p>
    <w:p w:rsidR="007212ED" w:rsidRDefault="006F6F68" w:rsidP="00FE116D">
      <w:pPr>
        <w:jc w:val="both"/>
      </w:pPr>
      <w:r>
        <w:t>§</w:t>
      </w:r>
      <w:r w:rsidR="006C68DC">
        <w:t xml:space="preserve"> </w:t>
      </w:r>
      <w:r>
        <w:t>1</w:t>
      </w:r>
      <w:r w:rsidR="005026DB">
        <w:t>1</w:t>
      </w:r>
      <w:r w:rsidR="007D6F49">
        <w:t xml:space="preserve">. Plan pracy Ministerstwa Sprawiedliwości </w:t>
      </w:r>
      <w:r w:rsidR="007B084F">
        <w:t>sporządza</w:t>
      </w:r>
      <w:r w:rsidR="007D6F39">
        <w:t xml:space="preserve"> się</w:t>
      </w:r>
      <w:r w:rsidR="005026DB">
        <w:t xml:space="preserve"> do </w:t>
      </w:r>
      <w:r w:rsidR="0075418E">
        <w:t xml:space="preserve">dnia 31 grudnia </w:t>
      </w:r>
      <w:r w:rsidR="0075418E">
        <w:br/>
        <w:t xml:space="preserve">w sposób </w:t>
      </w:r>
      <w:r w:rsidR="007D6F49">
        <w:t>zapewniając</w:t>
      </w:r>
      <w:r w:rsidR="0075418E">
        <w:t>y</w:t>
      </w:r>
      <w:r w:rsidR="007D6F49">
        <w:t xml:space="preserve"> realizację </w:t>
      </w:r>
      <w:r w:rsidR="004140EC">
        <w:t xml:space="preserve">na zakładanym poziomie </w:t>
      </w:r>
      <w:r w:rsidR="007D6F49">
        <w:t xml:space="preserve">celów określonych w planie działalności, </w:t>
      </w:r>
      <w:r w:rsidR="004140EC">
        <w:br/>
      </w:r>
      <w:r w:rsidR="007D6F49">
        <w:t>o którym mowa w §</w:t>
      </w:r>
      <w:r w:rsidR="006D51C8">
        <w:t xml:space="preserve"> </w:t>
      </w:r>
      <w:r w:rsidR="0075418E">
        <w:t>9</w:t>
      </w:r>
      <w:r w:rsidR="007D6F49">
        <w:t>.</w:t>
      </w:r>
    </w:p>
    <w:p w:rsidR="00EE1039" w:rsidRDefault="00F11D2C">
      <w:pPr>
        <w:jc w:val="both"/>
      </w:pPr>
      <w:r>
        <w:t>§</w:t>
      </w:r>
      <w:r w:rsidR="006C68DC">
        <w:t xml:space="preserve"> </w:t>
      </w:r>
      <w:r>
        <w:t>1</w:t>
      </w:r>
      <w:r w:rsidR="004140EC">
        <w:t>2</w:t>
      </w:r>
      <w:r w:rsidR="000F733A">
        <w:t>.</w:t>
      </w:r>
      <w:r w:rsidR="00425993">
        <w:t xml:space="preserve"> </w:t>
      </w:r>
      <w:r w:rsidR="000F733A">
        <w:t>Kierownicy jednostek w dziale sporządza</w:t>
      </w:r>
      <w:r w:rsidR="000E106E">
        <w:t>ją</w:t>
      </w:r>
      <w:r w:rsidR="000F733A">
        <w:t xml:space="preserve"> do 31 grudnia każdego roku plan</w:t>
      </w:r>
      <w:r w:rsidR="000E106E">
        <w:t>y</w:t>
      </w:r>
      <w:r w:rsidR="000F733A">
        <w:t xml:space="preserve"> działalności </w:t>
      </w:r>
      <w:r w:rsidR="00B030C4">
        <w:t xml:space="preserve">dla kierowanych jednostek </w:t>
      </w:r>
      <w:r w:rsidR="00561917">
        <w:t>na rok następny</w:t>
      </w:r>
      <w:r w:rsidR="000F733A">
        <w:t xml:space="preserve"> na podstawie planu działalności dla działu, z za</w:t>
      </w:r>
      <w:r w:rsidR="00425993">
        <w:t>chowaniem systemu kaskadowania celów i zadań</w:t>
      </w:r>
      <w:r w:rsidR="000F733A">
        <w:t>.</w:t>
      </w:r>
    </w:p>
    <w:p w:rsidR="00483935" w:rsidRDefault="004140EC">
      <w:pPr>
        <w:jc w:val="both"/>
      </w:pPr>
      <w:r>
        <w:t>§</w:t>
      </w:r>
      <w:r w:rsidR="006C68DC">
        <w:t xml:space="preserve"> </w:t>
      </w:r>
      <w:r>
        <w:t>13</w:t>
      </w:r>
      <w:r w:rsidR="00483935">
        <w:t xml:space="preserve">. Prezes i dyrektor sądu apelacyjnego </w:t>
      </w:r>
      <w:r w:rsidR="00363062">
        <w:t xml:space="preserve">na podstawie planu działalności dla działu </w:t>
      </w:r>
      <w:r w:rsidR="00B62CC8">
        <w:t>wspólnie</w:t>
      </w:r>
      <w:r w:rsidR="00B62CC8" w:rsidDel="00B3074B">
        <w:t xml:space="preserve"> </w:t>
      </w:r>
      <w:r w:rsidR="00B3074B">
        <w:t>sporządzają</w:t>
      </w:r>
      <w:r w:rsidR="00483935">
        <w:t>:</w:t>
      </w:r>
    </w:p>
    <w:p w:rsidR="00483935" w:rsidRDefault="00483935">
      <w:pPr>
        <w:jc w:val="both"/>
      </w:pPr>
      <w:r>
        <w:lastRenderedPageBreak/>
        <w:t xml:space="preserve">1) plan działalności dla obszaru apelacji, który </w:t>
      </w:r>
      <w:r w:rsidR="001C25D4">
        <w:t xml:space="preserve">przekazują sądom okręgowym i rejonowym – stosownie do kompetencji określonych w ustawie – Prawo o ustroju sądów powszechnych, </w:t>
      </w:r>
      <w:r w:rsidR="001C25D4">
        <w:br/>
        <w:t xml:space="preserve">w terminie umożliwiającym sporządzenie planów działalności przez </w:t>
      </w:r>
      <w:r w:rsidR="00363062">
        <w:t xml:space="preserve">wszystkie </w:t>
      </w:r>
      <w:r w:rsidR="001C25D4">
        <w:t>jednostki sądownictwa powszechnego z obszaru apelacji</w:t>
      </w:r>
      <w:r w:rsidR="00561917">
        <w:t>,</w:t>
      </w:r>
      <w:r w:rsidR="001C25D4">
        <w:t xml:space="preserve"> z zachow</w:t>
      </w:r>
      <w:r w:rsidR="00561917">
        <w:t>aniem terminu</w:t>
      </w:r>
      <w:r w:rsidR="00A72DC1">
        <w:t xml:space="preserve"> określonego w §</w:t>
      </w:r>
      <w:r w:rsidR="006D51C8">
        <w:t xml:space="preserve"> </w:t>
      </w:r>
      <w:r w:rsidR="00A72DC1">
        <w:t>1</w:t>
      </w:r>
      <w:r w:rsidR="004140EC">
        <w:t>2</w:t>
      </w:r>
      <w:r w:rsidR="0018648D">
        <w:t>;</w:t>
      </w:r>
    </w:p>
    <w:p w:rsidR="000D71B6" w:rsidRDefault="000D71B6">
      <w:pPr>
        <w:jc w:val="both"/>
      </w:pPr>
      <w:r>
        <w:t>2) plan działalności dla sądu apelacyjn</w:t>
      </w:r>
      <w:r w:rsidR="00A72DC1">
        <w:t>ego w terminie określonym w §</w:t>
      </w:r>
      <w:r w:rsidR="006D51C8">
        <w:t xml:space="preserve"> </w:t>
      </w:r>
      <w:r w:rsidR="00A72DC1">
        <w:t>1</w:t>
      </w:r>
      <w:r w:rsidR="004140EC">
        <w:t>2</w:t>
      </w:r>
      <w:r w:rsidR="001C25D4">
        <w:t>.</w:t>
      </w:r>
    </w:p>
    <w:p w:rsidR="00D57F0C" w:rsidRDefault="004140EC" w:rsidP="001B00F9">
      <w:pPr>
        <w:jc w:val="both"/>
      </w:pPr>
      <w:r>
        <w:t>§</w:t>
      </w:r>
      <w:r w:rsidR="006C68DC">
        <w:t xml:space="preserve"> </w:t>
      </w:r>
      <w:r>
        <w:t>14</w:t>
      </w:r>
      <w:r w:rsidR="001B00F9">
        <w:t xml:space="preserve">. </w:t>
      </w:r>
      <w:r w:rsidR="00AC073C">
        <w:t xml:space="preserve">Dyrektor Generalny Służby Więziennej </w:t>
      </w:r>
      <w:r w:rsidR="00C13A7F">
        <w:t xml:space="preserve">na podstawie planu działalności dla działu </w:t>
      </w:r>
      <w:r w:rsidR="00D57F0C">
        <w:t xml:space="preserve">sporządza plan działalności dla bezpośrednio podległych jednostek organizacyjnych Służby Więziennej </w:t>
      </w:r>
      <w:r w:rsidR="00CD61EC">
        <w:br/>
      </w:r>
      <w:r w:rsidR="00D57F0C">
        <w:t>i przekazuje go t</w:t>
      </w:r>
      <w:r w:rsidR="00E07FAE">
        <w:t>ym jednostkom w terminie umożliwiającym sporządzenie planów działalności kolejno przez wszystkie jednostki organiza</w:t>
      </w:r>
      <w:r w:rsidR="00561917">
        <w:t>cyjne – stosownie do hierarchii</w:t>
      </w:r>
      <w:r w:rsidR="00E07FAE">
        <w:t xml:space="preserve"> wynikającej ze struktury organizacyjnej Służby Więziennej, w terminie określonym w §</w:t>
      </w:r>
      <w:r w:rsidR="006D51C8">
        <w:t xml:space="preserve"> </w:t>
      </w:r>
      <w:r w:rsidR="00E07FAE">
        <w:t>1</w:t>
      </w:r>
      <w:r>
        <w:t>2</w:t>
      </w:r>
      <w:r w:rsidR="00D57F0C">
        <w:t>.</w:t>
      </w:r>
    </w:p>
    <w:p w:rsidR="00FA480A" w:rsidRDefault="004140EC" w:rsidP="001B00F9">
      <w:pPr>
        <w:jc w:val="both"/>
      </w:pPr>
      <w:r>
        <w:t>§</w:t>
      </w:r>
      <w:r w:rsidR="006C68DC">
        <w:t xml:space="preserve"> </w:t>
      </w:r>
      <w:r>
        <w:t>15</w:t>
      </w:r>
      <w:r w:rsidR="00FA480A">
        <w:t>. D</w:t>
      </w:r>
      <w:r w:rsidR="00AA0401">
        <w:t>yrektor D</w:t>
      </w:r>
      <w:r w:rsidR="00FA480A">
        <w:t>epartamentu Wykonania Orzeczeń i Probacji, na podstawie planu działalności dla działu, sporządza plan działalności dla zakładów poprawczych i schronisk</w:t>
      </w:r>
      <w:r w:rsidR="00812A1F">
        <w:t xml:space="preserve"> dla nieletnich oraz</w:t>
      </w:r>
      <w:r w:rsidR="00FA480A">
        <w:t xml:space="preserve"> przekazuje go tym jednostkom</w:t>
      </w:r>
      <w:r w:rsidR="00E07FAE">
        <w:t xml:space="preserve"> w terminie umożliwiającym sporządzenie przez nie planów działalności, z zacho</w:t>
      </w:r>
      <w:r w:rsidR="00A72DC1">
        <w:t>waniem terminu określonego w §</w:t>
      </w:r>
      <w:r w:rsidR="006D51C8">
        <w:t xml:space="preserve"> </w:t>
      </w:r>
      <w:r w:rsidR="00A72DC1">
        <w:t>1</w:t>
      </w:r>
      <w:r>
        <w:t>2</w:t>
      </w:r>
      <w:r w:rsidR="00FA480A">
        <w:t>.</w:t>
      </w:r>
    </w:p>
    <w:p w:rsidR="0029060D" w:rsidRDefault="004140EC" w:rsidP="001B00F9">
      <w:pPr>
        <w:jc w:val="both"/>
      </w:pPr>
      <w:r>
        <w:t>§</w:t>
      </w:r>
      <w:r w:rsidR="006C68DC">
        <w:t xml:space="preserve"> </w:t>
      </w:r>
      <w:r>
        <w:t>16</w:t>
      </w:r>
      <w:r w:rsidR="00FA480A">
        <w:t xml:space="preserve">. Plany </w:t>
      </w:r>
      <w:r w:rsidR="00AA0401">
        <w:t>działalności,</w:t>
      </w:r>
      <w:r w:rsidR="00A00650">
        <w:t xml:space="preserve"> sporządzane przez prezesów i dyrektorów sądów apelacyjnych dla obszaru apelacji, Dyrektora Generalnego Służby Więziennej, Dyrektora Departamentu Wykonania Orzeczeń </w:t>
      </w:r>
      <w:r w:rsidR="0055497E">
        <w:br/>
      </w:r>
      <w:r w:rsidR="00A00650">
        <w:t xml:space="preserve">i Probacji oraz dyrektorów </w:t>
      </w:r>
      <w:r w:rsidR="0055497E">
        <w:t xml:space="preserve">Instytutu Wymiaru Sprawiedliwości, Instytutu Ekspertyz Sądowych im. prof. dra Jana </w:t>
      </w:r>
      <w:proofErr w:type="spellStart"/>
      <w:r w:rsidR="0055497E">
        <w:t>Sehna</w:t>
      </w:r>
      <w:proofErr w:type="spellEnd"/>
      <w:r w:rsidR="0055497E">
        <w:t xml:space="preserve"> w Krakowie oraz Krajowej Szkoły Sądownictwa</w:t>
      </w:r>
      <w:r w:rsidR="00056456">
        <w:t xml:space="preserve"> </w:t>
      </w:r>
      <w:r w:rsidR="0055497E">
        <w:t xml:space="preserve">i Prokuratury </w:t>
      </w:r>
      <w:r w:rsidR="00AA0401">
        <w:t>przekazywane są Ministrowi Sprawiedliwości, za pośrednictwem Departamentu Strategii i Deregulacji, do dnia 31 grudnia każdego roku.</w:t>
      </w:r>
    </w:p>
    <w:p w:rsidR="00926781" w:rsidRDefault="00926781" w:rsidP="001B00F9">
      <w:pPr>
        <w:jc w:val="both"/>
      </w:pPr>
      <w:r>
        <w:t>§</w:t>
      </w:r>
      <w:r w:rsidR="006C68DC">
        <w:t xml:space="preserve"> </w:t>
      </w:r>
      <w:r>
        <w:t xml:space="preserve">17. Prokurator Generalny </w:t>
      </w:r>
      <w:r w:rsidR="007B084F">
        <w:t>sporządza</w:t>
      </w:r>
      <w:r>
        <w:t xml:space="preserve"> plan działalności powszechnych jednostek organizacyjnych prokuratury</w:t>
      </w:r>
      <w:r w:rsidR="00257BFE">
        <w:t>,</w:t>
      </w:r>
      <w:r>
        <w:t xml:space="preserve"> </w:t>
      </w:r>
      <w:r w:rsidR="00257BFE">
        <w:t xml:space="preserve">wyznaczając cele i zadania nawiązujące do </w:t>
      </w:r>
      <w:r w:rsidR="006A3398">
        <w:t xml:space="preserve">celów </w:t>
      </w:r>
      <w:r w:rsidR="00257BFE">
        <w:t>strategicznych</w:t>
      </w:r>
      <w:r w:rsidR="006A3398">
        <w:t xml:space="preserve"> dla działu administracji rządowej sprawiedliwość </w:t>
      </w:r>
      <w:r>
        <w:t xml:space="preserve">i przekazuje go </w:t>
      </w:r>
      <w:r w:rsidR="00214237">
        <w:t xml:space="preserve">Ministrowi </w:t>
      </w:r>
      <w:proofErr w:type="spellStart"/>
      <w:r w:rsidR="00214237">
        <w:t>Sprawiedliwosci</w:t>
      </w:r>
      <w:proofErr w:type="spellEnd"/>
      <w:r w:rsidR="00561917">
        <w:t>,</w:t>
      </w:r>
      <w:r w:rsidR="00214237">
        <w:t xml:space="preserve"> za pośrednictwem</w:t>
      </w:r>
      <w:r>
        <w:t xml:space="preserve"> Departamentu Strategii i Deregulacji w terminie umożliwiającym przekazanie planu działalności dla działu Prezesowi Rady Ministrów do dnia 31 października.</w:t>
      </w:r>
    </w:p>
    <w:p w:rsidR="00F11D2C" w:rsidRDefault="00F11D2C" w:rsidP="00F11D2C">
      <w:pPr>
        <w:jc w:val="both"/>
      </w:pPr>
      <w:r>
        <w:t>§</w:t>
      </w:r>
      <w:r w:rsidR="006C68DC">
        <w:t xml:space="preserve"> </w:t>
      </w:r>
      <w:r>
        <w:t>1</w:t>
      </w:r>
      <w:r w:rsidR="00926781">
        <w:t>8</w:t>
      </w:r>
      <w:r w:rsidR="00035D93">
        <w:t>.</w:t>
      </w:r>
      <w:r w:rsidR="00023B68">
        <w:t xml:space="preserve"> </w:t>
      </w:r>
      <w:r>
        <w:t>1. W przypadku zmiany planu d</w:t>
      </w:r>
      <w:r w:rsidR="00926781">
        <w:t>ziałalności, o którym mowa w §</w:t>
      </w:r>
      <w:r w:rsidR="006D51C8">
        <w:t xml:space="preserve"> </w:t>
      </w:r>
      <w:r w:rsidR="00926781">
        <w:t>9</w:t>
      </w:r>
      <w:r>
        <w:t>, w wyniku uwzględnienia przez Ministra Sprawiedliwości uwag zgłoszonych przez Prez</w:t>
      </w:r>
      <w:r w:rsidR="00926781">
        <w:t>esa Rady Ministrów, przepisy §</w:t>
      </w:r>
      <w:r w:rsidR="006D51C8">
        <w:t xml:space="preserve"> </w:t>
      </w:r>
      <w:r w:rsidR="00926781">
        <w:t>10</w:t>
      </w:r>
      <w:r>
        <w:t xml:space="preserve"> </w:t>
      </w:r>
      <w:r w:rsidR="00671BD2">
        <w:t xml:space="preserve">i § 16 </w:t>
      </w:r>
      <w:r>
        <w:t>stosuje się odpowiednio.</w:t>
      </w:r>
    </w:p>
    <w:p w:rsidR="00D62A0F" w:rsidRDefault="00F11D2C" w:rsidP="00CD61EC">
      <w:r>
        <w:t xml:space="preserve">2. Zatwierdzone przez Ministra </w:t>
      </w:r>
      <w:r w:rsidR="006F6F68">
        <w:t>S</w:t>
      </w:r>
      <w:r w:rsidR="00B53853">
        <w:t xml:space="preserve">prawiedliwości </w:t>
      </w:r>
      <w:r>
        <w:t xml:space="preserve">zmiany planu działalności zobowiązane są uwzględnić wszystkie jednostki w dziale, stosownie do zakresu kompetencji, w trybie określonym w </w:t>
      </w:r>
      <w:r w:rsidR="006F6F68">
        <w:t>§</w:t>
      </w:r>
      <w:r w:rsidR="006D51C8">
        <w:t xml:space="preserve"> </w:t>
      </w:r>
      <w:r w:rsidR="006F6F68">
        <w:t>1</w:t>
      </w:r>
      <w:r w:rsidR="00253E72">
        <w:t>2 -</w:t>
      </w:r>
      <w:r w:rsidR="00CD61EC">
        <w:t xml:space="preserve"> </w:t>
      </w:r>
      <w:r w:rsidR="00253E72">
        <w:t>§</w:t>
      </w:r>
      <w:r w:rsidR="006D51C8">
        <w:t xml:space="preserve"> </w:t>
      </w:r>
      <w:r w:rsidR="00253E72">
        <w:t>15</w:t>
      </w:r>
      <w:r w:rsidR="006F6F68">
        <w:t>.</w:t>
      </w:r>
    </w:p>
    <w:p w:rsidR="008A5D8C" w:rsidRPr="008A5D8C" w:rsidRDefault="008A5D8C" w:rsidP="008A5D8C">
      <w:pPr>
        <w:jc w:val="center"/>
        <w:rPr>
          <w:b/>
        </w:rPr>
      </w:pPr>
      <w:r w:rsidRPr="008A5D8C">
        <w:rPr>
          <w:b/>
        </w:rPr>
        <w:t>Rozdział III</w:t>
      </w:r>
    </w:p>
    <w:p w:rsidR="008A5D8C" w:rsidRPr="008A5D8C" w:rsidRDefault="008A5D8C" w:rsidP="008A5D8C">
      <w:pPr>
        <w:jc w:val="center"/>
        <w:rPr>
          <w:b/>
        </w:rPr>
      </w:pPr>
      <w:r w:rsidRPr="008A5D8C">
        <w:rPr>
          <w:b/>
        </w:rPr>
        <w:t>System zarządzania ryzykiem</w:t>
      </w:r>
    </w:p>
    <w:p w:rsidR="00A509FE" w:rsidRDefault="006F6F68" w:rsidP="001B00F9">
      <w:pPr>
        <w:jc w:val="both"/>
      </w:pPr>
      <w:r>
        <w:t>§</w:t>
      </w:r>
      <w:r w:rsidR="006C68DC">
        <w:t xml:space="preserve"> </w:t>
      </w:r>
      <w:r>
        <w:t>1</w:t>
      </w:r>
      <w:r w:rsidR="00253E72">
        <w:t>9</w:t>
      </w:r>
      <w:r w:rsidR="008A5D8C">
        <w:t xml:space="preserve">. </w:t>
      </w:r>
      <w:r w:rsidR="00D3280E">
        <w:t>Jednostki w dziale realiz</w:t>
      </w:r>
      <w:r w:rsidR="00253E72">
        <w:t>ują proces zarządzania ryzykiem</w:t>
      </w:r>
      <w:r w:rsidR="00D3280E">
        <w:t xml:space="preserve"> odnoszącym się do celów i zadań ujętych w planie działalności.</w:t>
      </w:r>
    </w:p>
    <w:p w:rsidR="005D1A3C" w:rsidRDefault="00253E72" w:rsidP="00DA0B16">
      <w:pPr>
        <w:jc w:val="both"/>
      </w:pPr>
      <w:r>
        <w:t>§</w:t>
      </w:r>
      <w:r w:rsidR="006C68DC">
        <w:t xml:space="preserve"> </w:t>
      </w:r>
      <w:r>
        <w:t>20.</w:t>
      </w:r>
      <w:r w:rsidR="006C68DC">
        <w:t xml:space="preserve"> </w:t>
      </w:r>
      <w:r w:rsidR="00DA0B16">
        <w:t xml:space="preserve">1. </w:t>
      </w:r>
      <w:r w:rsidR="005D1A3C">
        <w:t>Zarządzanie ryzykiem</w:t>
      </w:r>
      <w:r w:rsidR="00E91B4B">
        <w:t xml:space="preserve"> obejmuje identyfikowanie,</w:t>
      </w:r>
      <w:r w:rsidR="005D1A3C">
        <w:t xml:space="preserve"> analizę</w:t>
      </w:r>
      <w:r w:rsidR="00E91B4B">
        <w:t xml:space="preserve"> ryzyka i</w:t>
      </w:r>
      <w:r w:rsidR="005D1A3C">
        <w:t xml:space="preserve"> adekwatne do poziomu ryzyka reagowanie na nie</w:t>
      </w:r>
      <w:r w:rsidR="00E91B4B">
        <w:t>.</w:t>
      </w:r>
    </w:p>
    <w:p w:rsidR="00DA0B16" w:rsidRDefault="00DA0B16" w:rsidP="00DA0B16">
      <w:pPr>
        <w:jc w:val="both"/>
      </w:pPr>
      <w:r>
        <w:t>2. Proces zarządzania ryzykiem powinien być dokumentowany na każdym etapie.</w:t>
      </w:r>
    </w:p>
    <w:p w:rsidR="00DA0B16" w:rsidRDefault="006F6F68" w:rsidP="00DA0B16">
      <w:pPr>
        <w:jc w:val="both"/>
      </w:pPr>
      <w:r>
        <w:lastRenderedPageBreak/>
        <w:t>§</w:t>
      </w:r>
      <w:r w:rsidR="006C68DC">
        <w:t xml:space="preserve"> </w:t>
      </w:r>
      <w:r w:rsidR="00253E72">
        <w:t>21</w:t>
      </w:r>
      <w:r w:rsidR="00035D93">
        <w:t>.</w:t>
      </w:r>
      <w:r w:rsidR="006C68DC">
        <w:t xml:space="preserve"> </w:t>
      </w:r>
      <w:r w:rsidR="00DA0B16">
        <w:t xml:space="preserve">1. Identyfikacja ryzyka jest zadaniem ciągłym, uwzględniającym zarówno czynniki zewnętrzne jak i wewnętrzne, mające wpływ na sytuację jednostki i tym samym na realizację celów, </w:t>
      </w:r>
      <w:r w:rsidR="00DA0B16">
        <w:br/>
        <w:t>z zastrzeżeniem ust. 2.</w:t>
      </w:r>
    </w:p>
    <w:p w:rsidR="00DA0B16" w:rsidRDefault="00DA0B16" w:rsidP="00DA0B16">
      <w:pPr>
        <w:jc w:val="both"/>
      </w:pPr>
      <w:r>
        <w:t>2. Zasadniczy proces identyfikacji ryzyka powinien być zintegrowany z etapem planowania działalności.</w:t>
      </w:r>
    </w:p>
    <w:p w:rsidR="00DA0B16" w:rsidRDefault="00DA0B16" w:rsidP="00DA0B16">
      <w:pPr>
        <w:jc w:val="both"/>
      </w:pPr>
      <w:r>
        <w:t xml:space="preserve">3. W identyfikację </w:t>
      </w:r>
      <w:proofErr w:type="spellStart"/>
      <w:r>
        <w:t>ryzyk</w:t>
      </w:r>
      <w:proofErr w:type="spellEnd"/>
      <w:r>
        <w:t xml:space="preserve"> powinny być zaangażowane osoby, które będą później odpowiedzialne za realizację wyznaczonych celów i zadań.</w:t>
      </w:r>
    </w:p>
    <w:p w:rsidR="00942097" w:rsidRDefault="004C5D94" w:rsidP="00942097">
      <w:pPr>
        <w:jc w:val="both"/>
      </w:pPr>
      <w:r>
        <w:t>§</w:t>
      </w:r>
      <w:r w:rsidR="006C68DC">
        <w:t xml:space="preserve"> </w:t>
      </w:r>
      <w:r w:rsidR="00253E72">
        <w:t>22.</w:t>
      </w:r>
      <w:r w:rsidR="006C68DC">
        <w:t xml:space="preserve"> </w:t>
      </w:r>
      <w:r w:rsidR="00F76653">
        <w:t xml:space="preserve">1. </w:t>
      </w:r>
      <w:r w:rsidR="00942097">
        <w:t xml:space="preserve">Analiza ryzyka w dziale polega na oszacowaniu </w:t>
      </w:r>
      <w:r w:rsidR="00253E72">
        <w:t xml:space="preserve">poziomu </w:t>
      </w:r>
      <w:r w:rsidR="00942097">
        <w:t>ryzyka</w:t>
      </w:r>
      <w:r w:rsidR="00253E72">
        <w:t xml:space="preserve">, rozumianego jako </w:t>
      </w:r>
      <w:r w:rsidR="00942097">
        <w:t>iloczyn oceny prawdopodobieństwa wystąpienia ryzyka oraz oceny jego skutków, z zastrzeżeniem ust. 2.</w:t>
      </w:r>
    </w:p>
    <w:p w:rsidR="004C5D94" w:rsidRDefault="00942097" w:rsidP="00942097">
      <w:pPr>
        <w:jc w:val="both"/>
      </w:pPr>
      <w:r>
        <w:t>2. Kryteria analizy wskazujące sposób mierzenia prawdopodobieństwa wy</w:t>
      </w:r>
      <w:r w:rsidR="00561917">
        <w:t>stąpienia ryzyka i jego skutków</w:t>
      </w:r>
      <w:r>
        <w:t xml:space="preserve"> powinny zostać opracowane stosownie do charakteru </w:t>
      </w:r>
      <w:proofErr w:type="spellStart"/>
      <w:r>
        <w:t>ryzyk</w:t>
      </w:r>
      <w:proofErr w:type="spellEnd"/>
      <w:r>
        <w:t xml:space="preserve"> i z uwzg</w:t>
      </w:r>
      <w:r w:rsidR="004C5D94">
        <w:t>lędnieniem specyfiki jednostek oraz analizowanego obszaru.</w:t>
      </w:r>
    </w:p>
    <w:p w:rsidR="00E74AC2" w:rsidRDefault="00253E72" w:rsidP="00942097">
      <w:pPr>
        <w:jc w:val="both"/>
      </w:pPr>
      <w:r>
        <w:t>§</w:t>
      </w:r>
      <w:r w:rsidR="006C68DC">
        <w:t xml:space="preserve"> </w:t>
      </w:r>
      <w:r>
        <w:t>23</w:t>
      </w:r>
      <w:r w:rsidR="00E74AC2">
        <w:t>.</w:t>
      </w:r>
      <w:r w:rsidR="006C68DC">
        <w:t xml:space="preserve"> </w:t>
      </w:r>
      <w:r>
        <w:t xml:space="preserve">1. </w:t>
      </w:r>
      <w:r w:rsidR="009773A3">
        <w:t>Sposób reakcji na ryzyko powinien zależeć od p</w:t>
      </w:r>
      <w:r w:rsidR="0084099E">
        <w:t>oziomu akceptowanego ryzyka i</w:t>
      </w:r>
      <w:r w:rsidR="009773A3">
        <w:t xml:space="preserve"> relacji kosztów wdrożenia działań, które stanowiłyby odpowiedź na ryzyko </w:t>
      </w:r>
      <w:r w:rsidR="0084099E">
        <w:t>oraz</w:t>
      </w:r>
      <w:r w:rsidR="00561917">
        <w:t xml:space="preserve"> korzyści</w:t>
      </w:r>
      <w:r w:rsidR="009773A3">
        <w:t xml:space="preserve"> uzyskanych z tych działań. </w:t>
      </w:r>
    </w:p>
    <w:p w:rsidR="00942097" w:rsidRPr="0018648D" w:rsidRDefault="00253E72" w:rsidP="00942097">
      <w:pPr>
        <w:jc w:val="both"/>
      </w:pPr>
      <w:r>
        <w:t>2</w:t>
      </w:r>
      <w:r w:rsidR="004C5D94">
        <w:t>. Opracowanie kryteriów analizy ryzyka</w:t>
      </w:r>
      <w:r w:rsidR="00E74AC2">
        <w:t xml:space="preserve"> oraz</w:t>
      </w:r>
      <w:r w:rsidR="004C5D94">
        <w:t xml:space="preserve"> </w:t>
      </w:r>
      <w:r w:rsidR="00E74AC2">
        <w:t xml:space="preserve">określenie </w:t>
      </w:r>
      <w:r w:rsidR="004C5D94">
        <w:t xml:space="preserve">akceptowanego poziomu ryzyka </w:t>
      </w:r>
      <w:r w:rsidR="0084099E">
        <w:t>i rodzaju reakcji na ryzyko</w:t>
      </w:r>
      <w:r w:rsidR="004C5D94">
        <w:t xml:space="preserve"> </w:t>
      </w:r>
      <w:r w:rsidR="00B53853">
        <w:t>jak również</w:t>
      </w:r>
      <w:r w:rsidR="009B6769">
        <w:t xml:space="preserve"> nadzór nad efektywnością i skutecznością systemu zarządzania ryzykiem należy </w:t>
      </w:r>
      <w:r w:rsidR="004C5D94">
        <w:t>do obowiązków</w:t>
      </w:r>
      <w:r w:rsidR="00E74AC2">
        <w:t xml:space="preserve"> kierowników jednostek w dziale oraz</w:t>
      </w:r>
      <w:r w:rsidR="004C5D94">
        <w:t xml:space="preserve"> podmiotów wymienionych w §</w:t>
      </w:r>
      <w:r w:rsidR="006D51C8">
        <w:t xml:space="preserve"> </w:t>
      </w:r>
      <w:r w:rsidR="004C5D94">
        <w:t>2 ust. 3</w:t>
      </w:r>
      <w:r w:rsidR="00884759">
        <w:t xml:space="preserve"> </w:t>
      </w:r>
      <w:r w:rsidR="000D09FE" w:rsidRPr="0018648D">
        <w:t>pkt 1</w:t>
      </w:r>
      <w:r w:rsidR="00B868E8">
        <w:t xml:space="preserve"> i </w:t>
      </w:r>
      <w:r w:rsidR="000D09FE" w:rsidRPr="0018648D">
        <w:t xml:space="preserve">2 </w:t>
      </w:r>
      <w:r w:rsidR="00B868E8">
        <w:t>oraz</w:t>
      </w:r>
      <w:r w:rsidR="000D09FE" w:rsidRPr="0018648D">
        <w:t xml:space="preserve"> </w:t>
      </w:r>
      <w:r w:rsidR="00561917">
        <w:t xml:space="preserve">pkt </w:t>
      </w:r>
      <w:r w:rsidR="000D09FE" w:rsidRPr="0018648D">
        <w:t>5-7.</w:t>
      </w:r>
    </w:p>
    <w:p w:rsidR="00922916" w:rsidRDefault="00253E72" w:rsidP="00942097">
      <w:pPr>
        <w:jc w:val="both"/>
      </w:pPr>
      <w:r>
        <w:t>3</w:t>
      </w:r>
      <w:r w:rsidR="00AB62A1">
        <w:t xml:space="preserve">. Proces </w:t>
      </w:r>
      <w:r>
        <w:t>zarządzania ryzykiem</w:t>
      </w:r>
      <w:r w:rsidR="00AB62A1">
        <w:t xml:space="preserve"> powinien zostać udokumentowany</w:t>
      </w:r>
      <w:r w:rsidR="00922916">
        <w:t xml:space="preserve">, w szczególności poprzez utworzenie rejestru </w:t>
      </w:r>
      <w:proofErr w:type="spellStart"/>
      <w:r w:rsidR="00922916">
        <w:t>ryzyk</w:t>
      </w:r>
      <w:proofErr w:type="spellEnd"/>
      <w:r w:rsidR="00922916">
        <w:t xml:space="preserve"> dla poszczególnych celów i zadań, zawierającego m.in.:</w:t>
      </w:r>
    </w:p>
    <w:p w:rsidR="00AB62A1" w:rsidRDefault="00922916" w:rsidP="00942097">
      <w:pPr>
        <w:jc w:val="both"/>
      </w:pPr>
      <w:r>
        <w:t xml:space="preserve">1) opis zidentyfikowanych </w:t>
      </w:r>
      <w:proofErr w:type="spellStart"/>
      <w:r>
        <w:t>ryzyk</w:t>
      </w:r>
      <w:proofErr w:type="spellEnd"/>
      <w:r w:rsidR="00F219EC">
        <w:t>;</w:t>
      </w:r>
    </w:p>
    <w:p w:rsidR="00922916" w:rsidRDefault="00922916" w:rsidP="00942097">
      <w:pPr>
        <w:jc w:val="both"/>
      </w:pPr>
      <w:r>
        <w:t xml:space="preserve">2) określenie akceptowanego poziomu </w:t>
      </w:r>
      <w:proofErr w:type="spellStart"/>
      <w:r>
        <w:t>ryzyk</w:t>
      </w:r>
      <w:proofErr w:type="spellEnd"/>
      <w:r w:rsidR="00F219EC">
        <w:t>;</w:t>
      </w:r>
    </w:p>
    <w:p w:rsidR="00922916" w:rsidRDefault="00922916" w:rsidP="00942097">
      <w:pPr>
        <w:jc w:val="both"/>
      </w:pPr>
      <w:r>
        <w:t xml:space="preserve">3) analizę </w:t>
      </w:r>
      <w:proofErr w:type="spellStart"/>
      <w:r>
        <w:t>ryzyk</w:t>
      </w:r>
      <w:proofErr w:type="spellEnd"/>
      <w:r w:rsidR="00F219EC">
        <w:t>;</w:t>
      </w:r>
    </w:p>
    <w:p w:rsidR="00B947B3" w:rsidRDefault="00B947B3" w:rsidP="00942097">
      <w:pPr>
        <w:jc w:val="both"/>
      </w:pPr>
      <w:r>
        <w:t xml:space="preserve">4) właścicieli </w:t>
      </w:r>
      <w:proofErr w:type="spellStart"/>
      <w:r>
        <w:t>ryzyk</w:t>
      </w:r>
      <w:proofErr w:type="spellEnd"/>
      <w:r>
        <w:t xml:space="preserve"> (jako osób posiadających kompetencje do podjęcia działań zaradczych w stosunku do zarządzanego obszaru i którzy są z tego zarządzania rozliczani)</w:t>
      </w:r>
      <w:r w:rsidR="00F219EC">
        <w:t>;</w:t>
      </w:r>
    </w:p>
    <w:p w:rsidR="00B947B3" w:rsidRDefault="00B947B3" w:rsidP="00942097">
      <w:pPr>
        <w:jc w:val="both"/>
      </w:pPr>
      <w:r>
        <w:t xml:space="preserve">5) reakcje wobec </w:t>
      </w:r>
      <w:proofErr w:type="spellStart"/>
      <w:r>
        <w:t>ryzyk</w:t>
      </w:r>
      <w:proofErr w:type="spellEnd"/>
      <w:r w:rsidR="00F219EC">
        <w:t>;</w:t>
      </w:r>
    </w:p>
    <w:p w:rsidR="00B947B3" w:rsidRDefault="00B947B3" w:rsidP="00942097">
      <w:pPr>
        <w:jc w:val="both"/>
      </w:pPr>
      <w:r>
        <w:t>6) planowane mechanizmy kontroli.</w:t>
      </w:r>
    </w:p>
    <w:p w:rsidR="00D3280E" w:rsidRDefault="00AE1573" w:rsidP="00E71D87">
      <w:pPr>
        <w:jc w:val="both"/>
      </w:pPr>
      <w:r>
        <w:t>§</w:t>
      </w:r>
      <w:r w:rsidR="006C68DC">
        <w:t xml:space="preserve"> </w:t>
      </w:r>
      <w:r>
        <w:t>24</w:t>
      </w:r>
      <w:r w:rsidR="00531B0F">
        <w:t>. Kierownicy jednostek w dzi</w:t>
      </w:r>
      <w:r w:rsidR="0007288A">
        <w:t xml:space="preserve">ale, mając na uwadze ważną rolę </w:t>
      </w:r>
      <w:r w:rsidR="00531B0F">
        <w:t>audytu wewnętrznego w ocenie skuteczności i usprawnianiu procesów zarządzania ryzykiem</w:t>
      </w:r>
      <w:r w:rsidR="00B0777D">
        <w:t xml:space="preserve">, </w:t>
      </w:r>
      <w:r w:rsidR="00F157D7">
        <w:t xml:space="preserve">zatwierdzają kartę audytu, </w:t>
      </w:r>
      <w:r w:rsidR="00561B0C">
        <w:t xml:space="preserve">określającą </w:t>
      </w:r>
      <w:r w:rsidR="00F157D7">
        <w:t>cel, uprawnienia i zakres odpowiedzialności audytu wewnętrznego</w:t>
      </w:r>
      <w:r w:rsidR="00B0777D">
        <w:t>, z zachowaniem jego niezależności</w:t>
      </w:r>
      <w:r w:rsidR="006D51C8">
        <w:t xml:space="preserve"> </w:t>
      </w:r>
      <w:r w:rsidR="00B0777D">
        <w:t>i</w:t>
      </w:r>
      <w:r w:rsidR="006D51C8">
        <w:t xml:space="preserve"> </w:t>
      </w:r>
      <w:r w:rsidR="00B0777D">
        <w:t>obiektywności</w:t>
      </w:r>
      <w:r w:rsidR="006D51C8">
        <w:t xml:space="preserve"> </w:t>
      </w:r>
      <w:r w:rsidR="00B0777D">
        <w:t>działań</w:t>
      </w:r>
      <w:r w:rsidR="00E71D87">
        <w:t xml:space="preserve"> </w:t>
      </w:r>
      <w:r w:rsidR="00B0777D">
        <w:t>o charakterze zapewniającym</w:t>
      </w:r>
      <w:r w:rsidR="00561B0C">
        <w:t xml:space="preserve"> i doradczym</w:t>
      </w:r>
      <w:r w:rsidR="00B0777D">
        <w:t>.</w:t>
      </w:r>
    </w:p>
    <w:p w:rsidR="0084568D" w:rsidRPr="009B6769" w:rsidRDefault="00A21552" w:rsidP="00A21552">
      <w:pPr>
        <w:jc w:val="center"/>
        <w:rPr>
          <w:b/>
        </w:rPr>
      </w:pPr>
      <w:r w:rsidRPr="009B6769">
        <w:rPr>
          <w:b/>
        </w:rPr>
        <w:t>Rozdział IV</w:t>
      </w:r>
    </w:p>
    <w:p w:rsidR="00A21552" w:rsidRDefault="00A21552" w:rsidP="00A21552">
      <w:pPr>
        <w:jc w:val="center"/>
        <w:rPr>
          <w:b/>
        </w:rPr>
      </w:pPr>
      <w:r w:rsidRPr="009B6769">
        <w:rPr>
          <w:b/>
        </w:rPr>
        <w:t>Monitorowanie i ocena</w:t>
      </w:r>
    </w:p>
    <w:p w:rsidR="009B6769" w:rsidRDefault="0084099E" w:rsidP="009B6769">
      <w:pPr>
        <w:jc w:val="both"/>
      </w:pPr>
      <w:r w:rsidRPr="0084099E">
        <w:lastRenderedPageBreak/>
        <w:t>§</w:t>
      </w:r>
      <w:r w:rsidR="003A18C6">
        <w:t xml:space="preserve"> </w:t>
      </w:r>
      <w:r w:rsidRPr="0084099E">
        <w:t>2</w:t>
      </w:r>
      <w:r w:rsidR="00AE1573">
        <w:t>5</w:t>
      </w:r>
      <w:r w:rsidRPr="0084099E">
        <w:t xml:space="preserve">. Monitorowanie i ocena systemu kontroli zarządczej </w:t>
      </w:r>
      <w:r w:rsidR="00C54DFF">
        <w:t>powinny być prowadzone</w:t>
      </w:r>
      <w:r w:rsidR="0025063C">
        <w:t xml:space="preserve"> </w:t>
      </w:r>
      <w:r w:rsidRPr="0084099E">
        <w:t>na bieżąco</w:t>
      </w:r>
      <w:r w:rsidR="003920D9">
        <w:t xml:space="preserve"> oraz odpowiednio dokumentowane</w:t>
      </w:r>
      <w:r w:rsidRPr="0084099E">
        <w:t>.</w:t>
      </w:r>
    </w:p>
    <w:p w:rsidR="0084099E" w:rsidRDefault="00F200A4" w:rsidP="009B6769">
      <w:pPr>
        <w:jc w:val="both"/>
      </w:pPr>
      <w:r>
        <w:t>§</w:t>
      </w:r>
      <w:r w:rsidR="003A18C6">
        <w:t xml:space="preserve"> </w:t>
      </w:r>
      <w:r>
        <w:t>26</w:t>
      </w:r>
      <w:r w:rsidR="00F42C6F">
        <w:t xml:space="preserve">. Monitoring uwzględnia przede wszystkim stan realizowanych celów i zadań </w:t>
      </w:r>
      <w:r w:rsidR="001444FC">
        <w:t xml:space="preserve">z planu działalności, mających odzwierciedlenie w systemie zarządzania ryzykiem </w:t>
      </w:r>
      <w:r w:rsidR="00F42C6F">
        <w:t>oraz ich efekty</w:t>
      </w:r>
      <w:r w:rsidR="00E71D87">
        <w:t xml:space="preserve"> </w:t>
      </w:r>
      <w:r w:rsidR="00F42C6F">
        <w:t>w porównaniu do wcześniejszych założeń.</w:t>
      </w:r>
    </w:p>
    <w:p w:rsidR="00566C73" w:rsidRDefault="00F200A4" w:rsidP="009B6769">
      <w:pPr>
        <w:jc w:val="both"/>
      </w:pPr>
      <w:r>
        <w:t>§</w:t>
      </w:r>
      <w:r w:rsidR="003A18C6">
        <w:t xml:space="preserve"> </w:t>
      </w:r>
      <w:r>
        <w:t>27</w:t>
      </w:r>
      <w:r w:rsidR="001444FC">
        <w:t>.</w:t>
      </w:r>
      <w:r w:rsidR="0018648D">
        <w:t xml:space="preserve"> </w:t>
      </w:r>
      <w:r>
        <w:t>1.</w:t>
      </w:r>
      <w:r w:rsidR="001444FC">
        <w:t xml:space="preserve"> </w:t>
      </w:r>
      <w:r w:rsidR="000D1D7E">
        <w:t xml:space="preserve">Kierownicy jednostek w dziale zobowiązani są do kwartalnego raportowania z zarządzania ryzykiem w zakresie realizacji celów kaskadowanych z planu działalności </w:t>
      </w:r>
      <w:r w:rsidR="00AB00EF">
        <w:t>dla działu, z zastrzeżeniem ust. 2.</w:t>
      </w:r>
    </w:p>
    <w:p w:rsidR="00AB00EF" w:rsidRDefault="00E751A9" w:rsidP="009B6769">
      <w:pPr>
        <w:jc w:val="both"/>
      </w:pPr>
      <w:r>
        <w:t>2. Podmioty</w:t>
      </w:r>
      <w:r w:rsidR="00AB00EF">
        <w:t xml:space="preserve"> wymienione w §</w:t>
      </w:r>
      <w:r w:rsidR="003A18C6">
        <w:t xml:space="preserve"> </w:t>
      </w:r>
      <w:r w:rsidR="00AB00EF">
        <w:t>2 ust. 3</w:t>
      </w:r>
      <w:r w:rsidR="00214237">
        <w:t xml:space="preserve"> pkt 1</w:t>
      </w:r>
      <w:r w:rsidR="00FC46F2">
        <w:t xml:space="preserve"> i </w:t>
      </w:r>
      <w:r w:rsidR="00214237">
        <w:t xml:space="preserve">2 </w:t>
      </w:r>
      <w:r w:rsidR="00FC46F2">
        <w:t>oraz</w:t>
      </w:r>
      <w:r w:rsidR="00214237">
        <w:t xml:space="preserve"> </w:t>
      </w:r>
      <w:r w:rsidR="00561917">
        <w:t xml:space="preserve">pkt </w:t>
      </w:r>
      <w:r w:rsidR="00214237">
        <w:t>5-</w:t>
      </w:r>
      <w:r w:rsidR="00593998">
        <w:t>7</w:t>
      </w:r>
      <w:r w:rsidR="00AB00EF">
        <w:t xml:space="preserve"> powinny zorganizować system raportowania dla jednostek podległych i nadzorowanych, określając terminy przekazywania raportów kolejno przez </w:t>
      </w:r>
      <w:r>
        <w:t xml:space="preserve">wszystkie </w:t>
      </w:r>
      <w:r w:rsidR="00AB00EF">
        <w:t>jednostki</w:t>
      </w:r>
      <w:r>
        <w:t xml:space="preserve"> </w:t>
      </w:r>
      <w:r w:rsidR="00AB00EF">
        <w:t xml:space="preserve">w sposób umożliwiający sporządzenie zbiorczego raportu </w:t>
      </w:r>
      <w:r w:rsidR="00561917">
        <w:br/>
      </w:r>
      <w:r w:rsidR="00AB00EF">
        <w:t>i przekazanie go do Departamentu Strateg</w:t>
      </w:r>
      <w:r w:rsidR="00E33553">
        <w:t>ii i Deregulacji</w:t>
      </w:r>
      <w:r w:rsidR="00AB00EF">
        <w:t xml:space="preserve"> nie później niż w terminie 30 dni od zakończenia kwartału.</w:t>
      </w:r>
    </w:p>
    <w:p w:rsidR="00AB00EF" w:rsidRDefault="00AB00EF" w:rsidP="009B6769">
      <w:pPr>
        <w:jc w:val="both"/>
      </w:pPr>
      <w:r>
        <w:t xml:space="preserve">3. </w:t>
      </w:r>
      <w:r w:rsidR="00593998">
        <w:t xml:space="preserve">Przekazanie </w:t>
      </w:r>
      <w:r w:rsidR="002D6E9D">
        <w:t xml:space="preserve">do Departamentu Strategii i Deregulacji </w:t>
      </w:r>
      <w:r w:rsidR="00593998">
        <w:t>zbiorczego raportu</w:t>
      </w:r>
      <w:r w:rsidR="00C31B03">
        <w:t>,</w:t>
      </w:r>
      <w:r w:rsidR="00593998">
        <w:t xml:space="preserve"> o którym mowa w </w:t>
      </w:r>
      <w:r>
        <w:t>ust. 2</w:t>
      </w:r>
      <w:r w:rsidR="00C54DFF">
        <w:t>,</w:t>
      </w:r>
      <w:r>
        <w:t xml:space="preserve"> nie dotyczy czwartego kwartału</w:t>
      </w:r>
      <w:r w:rsidR="00153BEB">
        <w:t>.</w:t>
      </w:r>
    </w:p>
    <w:p w:rsidR="00D24D06" w:rsidRDefault="002B4C58" w:rsidP="009B6769">
      <w:pPr>
        <w:jc w:val="both"/>
      </w:pPr>
      <w:r>
        <w:t>4. Raport</w:t>
      </w:r>
      <w:r w:rsidR="00561917">
        <w:t>,</w:t>
      </w:r>
      <w:r>
        <w:t xml:space="preserve"> o którym mowa w ust. 1</w:t>
      </w:r>
      <w:r w:rsidR="00593998">
        <w:t xml:space="preserve"> i 2</w:t>
      </w:r>
      <w:r w:rsidR="00561917">
        <w:t>,</w:t>
      </w:r>
      <w:r>
        <w:t xml:space="preserve"> </w:t>
      </w:r>
      <w:r w:rsidR="00D24D06">
        <w:t>p</w:t>
      </w:r>
      <w:r>
        <w:t xml:space="preserve">owinien być poprzedzony </w:t>
      </w:r>
      <w:r w:rsidR="00D24D06">
        <w:t>analizą</w:t>
      </w:r>
      <w:r>
        <w:t xml:space="preserve"> znaczenia danych </w:t>
      </w:r>
      <w:proofErr w:type="spellStart"/>
      <w:r>
        <w:t>ryzyk</w:t>
      </w:r>
      <w:proofErr w:type="spellEnd"/>
      <w:r>
        <w:t xml:space="preserve"> dla realizacji poszczególnych celów, co powinno umożliwić wskazanie jednostce nadrzędnej </w:t>
      </w:r>
      <w:r w:rsidR="00F200A4">
        <w:br/>
      </w:r>
      <w:r w:rsidR="00D24D06">
        <w:t xml:space="preserve">i nadzorującej do trzech </w:t>
      </w:r>
      <w:r>
        <w:t>najistotniejszych</w:t>
      </w:r>
      <w:r w:rsidR="00D24D06">
        <w:t xml:space="preserve"> </w:t>
      </w:r>
      <w:proofErr w:type="spellStart"/>
      <w:r w:rsidR="00D24D06">
        <w:t>ryzyk</w:t>
      </w:r>
      <w:proofErr w:type="spellEnd"/>
      <w:r w:rsidR="00D24D06">
        <w:t xml:space="preserve"> wraz z planowanymi i podjętymi w reakcji na ryzyko działaniami.</w:t>
      </w:r>
    </w:p>
    <w:p w:rsidR="00281372" w:rsidRDefault="00D24D06" w:rsidP="009B6769">
      <w:pPr>
        <w:jc w:val="both"/>
      </w:pPr>
      <w:r>
        <w:t xml:space="preserve">5. </w:t>
      </w:r>
      <w:r w:rsidR="00281372">
        <w:t>Wzór raportu, o którym mowa w ust. 1</w:t>
      </w:r>
      <w:r w:rsidR="00593998">
        <w:t xml:space="preserve"> i 2</w:t>
      </w:r>
      <w:r w:rsidR="0065596F">
        <w:t>, jest o</w:t>
      </w:r>
      <w:r w:rsidR="00210259">
        <w:t xml:space="preserve">kreślony </w:t>
      </w:r>
      <w:r w:rsidR="00561917">
        <w:t>w załączniku do niniejszego k</w:t>
      </w:r>
      <w:r w:rsidR="00281372">
        <w:t>omunikatu.</w:t>
      </w:r>
    </w:p>
    <w:p w:rsidR="00281372" w:rsidRDefault="00B947B3" w:rsidP="009B6769">
      <w:pPr>
        <w:jc w:val="both"/>
      </w:pPr>
      <w:r>
        <w:t>§</w:t>
      </w:r>
      <w:r w:rsidR="003A18C6">
        <w:t xml:space="preserve"> </w:t>
      </w:r>
      <w:r>
        <w:t>2</w:t>
      </w:r>
      <w:r w:rsidR="00F200A4">
        <w:t>8</w:t>
      </w:r>
      <w:r w:rsidR="00281372">
        <w:t>.</w:t>
      </w:r>
      <w:r w:rsidR="006C68DC">
        <w:t xml:space="preserve"> </w:t>
      </w:r>
      <w:r w:rsidR="006C75D4">
        <w:t>1.</w:t>
      </w:r>
      <w:r w:rsidR="00281372">
        <w:t xml:space="preserve"> Na podstawie otrzymanych zbiorczych raportów kwartalny</w:t>
      </w:r>
      <w:r w:rsidR="006F6F68">
        <w:t>ch, o których mowa w §</w:t>
      </w:r>
      <w:r w:rsidR="003A18C6">
        <w:t xml:space="preserve"> </w:t>
      </w:r>
      <w:r w:rsidR="006F6F68">
        <w:t>2</w:t>
      </w:r>
      <w:r w:rsidR="00F805A2">
        <w:t>7</w:t>
      </w:r>
      <w:r w:rsidR="0028273D">
        <w:t xml:space="preserve"> ust. 2</w:t>
      </w:r>
      <w:r w:rsidR="00210259">
        <w:t>,</w:t>
      </w:r>
      <w:r w:rsidR="00281372">
        <w:t xml:space="preserve"> Departament Strategii i Deregulacji opracowuje kwartalny raport ze stopnia realizacji celów określonych w planie działalności dla działu wraz z oceną ryzyka/prawdopodobieństwa nieosiągnięcia wskazanych w planie działalności wartości mierników dla poszczególnych celów </w:t>
      </w:r>
      <w:r w:rsidR="007A19F1">
        <w:t>oraz</w:t>
      </w:r>
      <w:r w:rsidR="00281372">
        <w:t xml:space="preserve"> przedkłada je Ministrowi Sprawiedliwości.</w:t>
      </w:r>
    </w:p>
    <w:p w:rsidR="006C75D4" w:rsidRDefault="006C75D4" w:rsidP="009B6769">
      <w:pPr>
        <w:jc w:val="both"/>
      </w:pPr>
      <w:r>
        <w:t>2. Departament Strategii i Deregulacji, z własnej inicjatywy lub z polecenia Ministra, może wnioskować o</w:t>
      </w:r>
      <w:r w:rsidR="00E33553">
        <w:t xml:space="preserve"> złożenie dodatkowych wyjaśnień</w:t>
      </w:r>
      <w:r>
        <w:t xml:space="preserve"> w związku ze stwierdzeniem wysokiego poziomu ryzyka niezrealizowania danego miernika, określającego stopień realizacji celu z planu działalności dla działu.</w:t>
      </w:r>
    </w:p>
    <w:p w:rsidR="006C75D4" w:rsidRDefault="006C75D4" w:rsidP="009B6769">
      <w:pPr>
        <w:jc w:val="both"/>
      </w:pPr>
      <w:r>
        <w:t>3. Raport</w:t>
      </w:r>
      <w:r w:rsidR="001C2564">
        <w:t>,</w:t>
      </w:r>
      <w:r>
        <w:t xml:space="preserve"> o którym mowa w ust. 1</w:t>
      </w:r>
      <w:r w:rsidR="001C2564">
        <w:t>,</w:t>
      </w:r>
      <w:r>
        <w:t xml:space="preserve"> </w:t>
      </w:r>
      <w:r w:rsidR="00B06E44" w:rsidRPr="00B06E44">
        <w:t xml:space="preserve">Departament Strategii i Deregulacji </w:t>
      </w:r>
      <w:r>
        <w:t>przekaz</w:t>
      </w:r>
      <w:r w:rsidR="00B06E44">
        <w:t>uje</w:t>
      </w:r>
      <w:r>
        <w:t xml:space="preserve"> do wiadomości wszystkich członków Kierownictwa Ministerstwa Sprawiedliwości, w tym do przewodniczącego Komitetu Audytu.</w:t>
      </w:r>
    </w:p>
    <w:p w:rsidR="00153BEB" w:rsidRDefault="00F200A4" w:rsidP="009B6769">
      <w:pPr>
        <w:jc w:val="both"/>
      </w:pPr>
      <w:r>
        <w:t>§</w:t>
      </w:r>
      <w:r w:rsidR="006C68DC">
        <w:t xml:space="preserve"> </w:t>
      </w:r>
      <w:r>
        <w:t>29</w:t>
      </w:r>
      <w:r w:rsidR="00035D93">
        <w:t>.</w:t>
      </w:r>
      <w:r w:rsidR="006C68DC">
        <w:t xml:space="preserve"> </w:t>
      </w:r>
      <w:r w:rsidR="00153BEB">
        <w:t>1. Kierownicy jednostek w dziale sporządz</w:t>
      </w:r>
      <w:r w:rsidR="008B5167">
        <w:t>ają</w:t>
      </w:r>
      <w:r w:rsidR="00153BEB">
        <w:t xml:space="preserve"> sprawozdania z wykonania planu działalności oraz </w:t>
      </w:r>
      <w:r w:rsidR="00DE636C">
        <w:t xml:space="preserve">składają </w:t>
      </w:r>
      <w:r w:rsidR="00153BEB">
        <w:t>oświadczenia o stanie kontroli zarządczej w</w:t>
      </w:r>
      <w:r w:rsidR="00B030C4">
        <w:t xml:space="preserve"> zakresie kierowanej jednostki</w:t>
      </w:r>
      <w:r w:rsidR="00817583">
        <w:t xml:space="preserve"> do </w:t>
      </w:r>
      <w:r w:rsidR="001C2564">
        <w:t>31 marca</w:t>
      </w:r>
      <w:r w:rsidR="00153BEB">
        <w:t xml:space="preserve">, </w:t>
      </w:r>
      <w:r w:rsidR="00214BF6">
        <w:br/>
      </w:r>
      <w:r w:rsidR="00153BEB">
        <w:t>z zastrzeżeniem ust. 2.</w:t>
      </w:r>
    </w:p>
    <w:p w:rsidR="00153BEB" w:rsidRDefault="00153BEB" w:rsidP="00153BEB">
      <w:pPr>
        <w:jc w:val="both"/>
      </w:pPr>
      <w:r>
        <w:t>2. Podmioty wymienione w §</w:t>
      </w:r>
      <w:r w:rsidR="006C68DC">
        <w:t xml:space="preserve"> </w:t>
      </w:r>
      <w:r>
        <w:t xml:space="preserve">2 ust. 3 </w:t>
      </w:r>
      <w:r w:rsidR="00593998">
        <w:t>pkt 1</w:t>
      </w:r>
      <w:r w:rsidR="0061739A">
        <w:t>,</w:t>
      </w:r>
      <w:r w:rsidR="0097728F">
        <w:t xml:space="preserve"> </w:t>
      </w:r>
      <w:r w:rsidR="00593998">
        <w:t>2</w:t>
      </w:r>
      <w:r w:rsidR="0061739A">
        <w:t xml:space="preserve">, </w:t>
      </w:r>
      <w:r w:rsidR="00593998">
        <w:t>5</w:t>
      </w:r>
      <w:r w:rsidR="0061739A">
        <w:t xml:space="preserve"> i </w:t>
      </w:r>
      <w:r w:rsidR="00593998">
        <w:t xml:space="preserve">7 </w:t>
      </w:r>
      <w:r w:rsidR="008B5167">
        <w:t>odpowiadają za organizację</w:t>
      </w:r>
      <w:r>
        <w:t xml:space="preserve"> system</w:t>
      </w:r>
      <w:r w:rsidR="00453D8C">
        <w:t>u</w:t>
      </w:r>
      <w:r>
        <w:t xml:space="preserve"> sporządzania i przekazywania sprawozdania z planu działalności i oświadczenia o stanie kontroli zarządczej dla jednostek podległych i nadzorowanych, określając terminy ich przekazywania </w:t>
      </w:r>
      <w:r w:rsidR="00453D8C">
        <w:br/>
      </w:r>
      <w:r>
        <w:lastRenderedPageBreak/>
        <w:t xml:space="preserve">w sposób umożliwiający sporządzenie zbiorczego sprawozdania i oświadczenia o stanie kontroli zarządczej oraz </w:t>
      </w:r>
      <w:r w:rsidR="00694739">
        <w:t>przekazanie</w:t>
      </w:r>
      <w:r>
        <w:t xml:space="preserve"> go do Depar</w:t>
      </w:r>
      <w:r w:rsidR="00561917">
        <w:t xml:space="preserve">tamentu Strategii i Deregulacji </w:t>
      </w:r>
      <w:r>
        <w:t xml:space="preserve">nie później niż </w:t>
      </w:r>
      <w:r w:rsidR="00DA0D57">
        <w:t xml:space="preserve">do </w:t>
      </w:r>
      <w:r w:rsidR="001C2564">
        <w:t>31 marca</w:t>
      </w:r>
      <w:r>
        <w:t xml:space="preserve">. </w:t>
      </w:r>
    </w:p>
    <w:p w:rsidR="00F200A4" w:rsidRDefault="00F200A4" w:rsidP="00153BEB">
      <w:pPr>
        <w:jc w:val="both"/>
      </w:pPr>
      <w:r>
        <w:t xml:space="preserve">3. </w:t>
      </w:r>
      <w:r w:rsidR="00DA0D57">
        <w:t xml:space="preserve">Prokurator Generalny przekazuje Ministrowi Sprawiedliwości, za pośrednictwem Departamentu Strategii i Deregulacji, sprawozdanie z wykonania planu działalności powszechnych jednostek organizacyjnych prokuratury oraz oświadczenie o stanie kontroli zarządczej nie później niż do </w:t>
      </w:r>
      <w:r w:rsidR="001C2564">
        <w:t xml:space="preserve">31 </w:t>
      </w:r>
      <w:r w:rsidR="00DA0D57">
        <w:t>marca.</w:t>
      </w:r>
    </w:p>
    <w:p w:rsidR="00D413F9" w:rsidRDefault="00D413F9" w:rsidP="00153BEB">
      <w:pPr>
        <w:jc w:val="both"/>
      </w:pPr>
      <w:r>
        <w:t xml:space="preserve">4. Dyrektor Generalny przekazuje Ministrowi Sprawiedliwości, za pośrednictwem Departamentu Strategii i Deregulacji, oświadczenie o stanie kontroli zarządczej nie później niż do </w:t>
      </w:r>
      <w:r w:rsidR="001C2564">
        <w:t xml:space="preserve">31 </w:t>
      </w:r>
      <w:r>
        <w:t>marca.</w:t>
      </w:r>
    </w:p>
    <w:p w:rsidR="00FE3C45" w:rsidRDefault="00F200A4" w:rsidP="00D43A21">
      <w:pPr>
        <w:jc w:val="both"/>
      </w:pPr>
      <w:r>
        <w:t>§</w:t>
      </w:r>
      <w:r w:rsidR="006C68DC">
        <w:t xml:space="preserve"> </w:t>
      </w:r>
      <w:r>
        <w:t>30</w:t>
      </w:r>
      <w:r w:rsidR="00D43A21">
        <w:t>.</w:t>
      </w:r>
      <w:r w:rsidR="006C68DC">
        <w:t xml:space="preserve"> </w:t>
      </w:r>
      <w:r w:rsidR="00D43A21">
        <w:t>1. Na podstawie otrzymanych sprawozdań i oświadczeń, o których mowa w §</w:t>
      </w:r>
      <w:r w:rsidR="003A18C6">
        <w:t xml:space="preserve"> </w:t>
      </w:r>
      <w:r w:rsidR="00D43A21">
        <w:t>2</w:t>
      </w:r>
      <w:r w:rsidR="00817583">
        <w:t>9</w:t>
      </w:r>
      <w:r w:rsidR="00D43A21">
        <w:t xml:space="preserve"> ust. 2</w:t>
      </w:r>
      <w:r w:rsidR="00427AB1">
        <w:t xml:space="preserve"> i</w:t>
      </w:r>
      <w:r w:rsidR="00D413F9">
        <w:t xml:space="preserve"> 4</w:t>
      </w:r>
      <w:r w:rsidR="00561917">
        <w:t>,</w:t>
      </w:r>
      <w:r w:rsidR="00D43A21">
        <w:t xml:space="preserve"> Departament Strategii i Deregulacji opracowuje i przedkłada do podpisu Ministrowi Sprawiedliwości</w:t>
      </w:r>
      <w:r w:rsidR="00694739">
        <w:t>,</w:t>
      </w:r>
      <w:r w:rsidR="00D43A21">
        <w:t xml:space="preserve"> do </w:t>
      </w:r>
      <w:r w:rsidR="001C2564">
        <w:t xml:space="preserve">30 </w:t>
      </w:r>
      <w:r w:rsidR="00D43A21">
        <w:t>kwietnia każdego roku</w:t>
      </w:r>
      <w:r w:rsidR="00694739">
        <w:t>,</w:t>
      </w:r>
      <w:r w:rsidR="00D43A21">
        <w:t xml:space="preserve"> projekt sprawozdania z wykonania planu działalności dla działu </w:t>
      </w:r>
      <w:r w:rsidR="00D43A21">
        <w:br/>
        <w:t xml:space="preserve">i projekt oświadczenia o stanie kontroli zarządczej w dziale administracji rządowej sprawiedliwość. </w:t>
      </w:r>
    </w:p>
    <w:p w:rsidR="005C7733" w:rsidRDefault="00D43A21" w:rsidP="00D43A21">
      <w:pPr>
        <w:jc w:val="both"/>
      </w:pPr>
      <w:r>
        <w:t xml:space="preserve">2. Departament Strategii i Deregulacji, z własnej inicjatywy lub z polecenia Ministra, może wnioskować o </w:t>
      </w:r>
      <w:r w:rsidR="00094B69">
        <w:t>przekazanie dodatkowych informacji oraz złożenie dodatkowych wyjaśnień w związku z przygotowywaniem projektu sprawozdania i oświadczenia o stanie kontroli zarządczej</w:t>
      </w:r>
      <w:r w:rsidR="00542B95">
        <w:t>.</w:t>
      </w:r>
    </w:p>
    <w:p w:rsidR="00542B95" w:rsidRDefault="00542B95" w:rsidP="00D43A21">
      <w:pPr>
        <w:jc w:val="both"/>
      </w:pPr>
      <w:r>
        <w:t xml:space="preserve">3. W celu dokonania prawidłowej oceny stanu kontroli zarządczej należy wziąć pod uwagę informacje dostępne z różnych źródeł, w tym </w:t>
      </w:r>
      <w:r w:rsidR="008B5167">
        <w:t xml:space="preserve">w </w:t>
      </w:r>
      <w:proofErr w:type="spellStart"/>
      <w:r w:rsidR="008B5167">
        <w:t>szczegolności</w:t>
      </w:r>
      <w:proofErr w:type="spellEnd"/>
      <w:r>
        <w:t xml:space="preserve"> z:</w:t>
      </w:r>
    </w:p>
    <w:p w:rsidR="00542B95" w:rsidRDefault="00542B95" w:rsidP="00D43A21">
      <w:pPr>
        <w:jc w:val="both"/>
      </w:pPr>
      <w:r>
        <w:t>1) monitoringu realizacji celów i zadań</w:t>
      </w:r>
      <w:r w:rsidR="001C2564">
        <w:t>;</w:t>
      </w:r>
    </w:p>
    <w:p w:rsidR="00542B95" w:rsidRDefault="00542B95" w:rsidP="00D43A21">
      <w:pPr>
        <w:jc w:val="both"/>
      </w:pPr>
      <w:r>
        <w:t>2) samooceny systemu kontroli zarządczej, która powinna być przeprowadzana corocznie w każdej jednostce w dziale</w:t>
      </w:r>
      <w:r w:rsidR="001C2564">
        <w:t>;</w:t>
      </w:r>
    </w:p>
    <w:p w:rsidR="00542B95" w:rsidRDefault="00542B95" w:rsidP="00D43A21">
      <w:pPr>
        <w:jc w:val="both"/>
      </w:pPr>
      <w:r>
        <w:t>3) systemu zarządzania ryzykiem</w:t>
      </w:r>
      <w:r w:rsidR="001C2564">
        <w:t>;</w:t>
      </w:r>
    </w:p>
    <w:p w:rsidR="00542B95" w:rsidRDefault="00542B95" w:rsidP="00D43A21">
      <w:pPr>
        <w:jc w:val="both"/>
      </w:pPr>
      <w:r>
        <w:t>4) wyników pracy audytu i kontroli wewnętrznej</w:t>
      </w:r>
      <w:r w:rsidR="001C2564">
        <w:t>;</w:t>
      </w:r>
    </w:p>
    <w:p w:rsidR="00542B95" w:rsidRDefault="00542B95" w:rsidP="00D43A21">
      <w:pPr>
        <w:jc w:val="both"/>
      </w:pPr>
      <w:r>
        <w:t xml:space="preserve">5) wyników kontroli i audytów zewnętrznych. </w:t>
      </w:r>
    </w:p>
    <w:p w:rsidR="00B030C4" w:rsidRDefault="00B030C4" w:rsidP="00D43A21">
      <w:pPr>
        <w:jc w:val="both"/>
      </w:pPr>
      <w:r>
        <w:t>§</w:t>
      </w:r>
      <w:r w:rsidR="006C68DC">
        <w:t xml:space="preserve"> </w:t>
      </w:r>
      <w:r w:rsidR="00D413F9">
        <w:t>31</w:t>
      </w:r>
      <w:r>
        <w:t>. Plany dz</w:t>
      </w:r>
      <w:r w:rsidR="006F6F68">
        <w:t>iałalności, o których mowa w §</w:t>
      </w:r>
      <w:r w:rsidR="003A18C6">
        <w:t xml:space="preserve"> </w:t>
      </w:r>
      <w:r w:rsidR="006F6F68">
        <w:t>1</w:t>
      </w:r>
      <w:r w:rsidR="00D413F9">
        <w:t>2</w:t>
      </w:r>
      <w:r w:rsidR="00C75B00">
        <w:t>,</w:t>
      </w:r>
      <w:r>
        <w:t xml:space="preserve"> jak również spra</w:t>
      </w:r>
      <w:r w:rsidR="0028273D">
        <w:t xml:space="preserve">wozdania z planu działalności </w:t>
      </w:r>
      <w:r w:rsidR="0028273D">
        <w:br/>
        <w:t>i</w:t>
      </w:r>
      <w:r w:rsidR="0061246C">
        <w:t xml:space="preserve"> </w:t>
      </w:r>
      <w:r>
        <w:t>oświadczenia o stanie kontroli zarządczej</w:t>
      </w:r>
      <w:r w:rsidR="0061246C">
        <w:t>, o których mowa w §</w:t>
      </w:r>
      <w:r w:rsidR="003A18C6">
        <w:t xml:space="preserve"> </w:t>
      </w:r>
      <w:r w:rsidR="0061246C">
        <w:t>2</w:t>
      </w:r>
      <w:r w:rsidR="00D413F9">
        <w:t>9</w:t>
      </w:r>
      <w:r w:rsidR="0061246C">
        <w:t xml:space="preserve"> </w:t>
      </w:r>
      <w:r w:rsidR="00427AB1">
        <w:t xml:space="preserve">ust. 1 </w:t>
      </w:r>
      <w:r w:rsidR="0061246C">
        <w:t>i §</w:t>
      </w:r>
      <w:r w:rsidR="003A18C6">
        <w:t xml:space="preserve"> </w:t>
      </w:r>
      <w:r w:rsidR="00D413F9">
        <w:t>30</w:t>
      </w:r>
      <w:r w:rsidR="0061246C">
        <w:t xml:space="preserve"> ust. 1</w:t>
      </w:r>
      <w:r w:rsidR="008B5167">
        <w:t>,</w:t>
      </w:r>
      <w:r w:rsidR="0061246C">
        <w:t xml:space="preserve"> </w:t>
      </w:r>
      <w:r>
        <w:t xml:space="preserve">podlegają publikacji w Biuletynie Informacji Publicznej. </w:t>
      </w:r>
    </w:p>
    <w:p w:rsidR="00214237" w:rsidRDefault="00206257">
      <w:pPr>
        <w:jc w:val="both"/>
      </w:pPr>
      <w:r>
        <w:t>§</w:t>
      </w:r>
      <w:r w:rsidR="006C68DC">
        <w:t xml:space="preserve"> </w:t>
      </w:r>
      <w:r w:rsidR="00D413F9">
        <w:t>32</w:t>
      </w:r>
      <w:r>
        <w:t>. Traci moc komunikat Ministra Sprawiedliwości z dnia 16 listopada 2011 r. w sprawie szczegółowych wytycznych w zakresie kontroli zarządczej dla</w:t>
      </w:r>
      <w:r w:rsidR="00B91A48">
        <w:t xml:space="preserve"> działu administracji rządowej </w:t>
      </w:r>
      <w:r w:rsidR="00696B38" w:rsidRPr="00696B38">
        <w:t>–</w:t>
      </w:r>
      <w:r>
        <w:t>sprawiedliwość</w:t>
      </w:r>
      <w:r w:rsidR="00696B38">
        <w:t xml:space="preserve"> (Dz. Urz. Min. </w:t>
      </w:r>
      <w:proofErr w:type="spellStart"/>
      <w:r w:rsidR="00696B38">
        <w:t>Sprawiedl</w:t>
      </w:r>
      <w:proofErr w:type="spellEnd"/>
      <w:r w:rsidR="00B87C26">
        <w:t xml:space="preserve">. Nr 14, </w:t>
      </w:r>
      <w:r w:rsidR="00330184">
        <w:t>poz.</w:t>
      </w:r>
      <w:r w:rsidR="00B3128E">
        <w:t xml:space="preserve"> </w:t>
      </w:r>
      <w:r w:rsidR="00330184">
        <w:t>199</w:t>
      </w:r>
      <w:r w:rsidR="00696B38">
        <w:t>).</w:t>
      </w:r>
    </w:p>
    <w:p w:rsidR="00B153BD" w:rsidRDefault="004F2ED5">
      <w:r>
        <w:t>§ 33.</w:t>
      </w:r>
      <w:r w:rsidR="00214237">
        <w:t xml:space="preserve"> Komunikat wchodzi w życie z dniem podpisania.</w:t>
      </w:r>
      <w:r w:rsidR="00206257">
        <w:t xml:space="preserve"> </w:t>
      </w:r>
    </w:p>
    <w:p w:rsidR="00647EFA" w:rsidRPr="009352BB" w:rsidRDefault="00647EFA">
      <w:pPr>
        <w:rPr>
          <w:b/>
        </w:rPr>
        <w:sectPr w:rsidR="00647EFA" w:rsidRPr="009352BB" w:rsidSect="00F92D9B">
          <w:footerReference w:type="default" r:id="rId9"/>
          <w:pgSz w:w="11906" w:h="16838"/>
          <w:pgMar w:top="1417" w:right="1417" w:bottom="1276" w:left="1417" w:header="708" w:footer="708" w:gutter="0"/>
          <w:cols w:space="708"/>
          <w:docGrid w:linePitch="360"/>
        </w:sectPr>
      </w:pPr>
      <w:r>
        <w:tab/>
      </w:r>
      <w:r>
        <w:tab/>
      </w:r>
      <w:r>
        <w:tab/>
      </w:r>
      <w:r>
        <w:tab/>
      </w:r>
      <w:r>
        <w:tab/>
      </w:r>
      <w:r>
        <w:tab/>
      </w:r>
      <w:r>
        <w:tab/>
      </w:r>
      <w:r>
        <w:tab/>
      </w:r>
      <w:r>
        <w:rPr>
          <w:b/>
        </w:rPr>
        <w:t>MINISTER SPRAWIEDLIWOŚCI</w:t>
      </w:r>
    </w:p>
    <w:p w:rsidR="00FD265A" w:rsidRPr="00A00838" w:rsidRDefault="00FD265A" w:rsidP="00FD265A">
      <w:pPr>
        <w:ind w:left="7080"/>
        <w:jc w:val="both"/>
        <w:rPr>
          <w:sz w:val="20"/>
          <w:szCs w:val="20"/>
        </w:rPr>
      </w:pPr>
      <w:r w:rsidRPr="00A00838">
        <w:rPr>
          <w:sz w:val="20"/>
          <w:szCs w:val="20"/>
        </w:rPr>
        <w:lastRenderedPageBreak/>
        <w:t>Załącznik do Komunikatu Ministra Sprawiedliwości z dnia …………………………</w:t>
      </w:r>
    </w:p>
    <w:p w:rsidR="00FD265A" w:rsidRDefault="00FD265A" w:rsidP="00FD265A">
      <w:pPr>
        <w:jc w:val="both"/>
      </w:pPr>
    </w:p>
    <w:p w:rsidR="00792130" w:rsidRDefault="00FD265A" w:rsidP="00FD265A">
      <w:pPr>
        <w:jc w:val="center"/>
        <w:rPr>
          <w:b/>
        </w:rPr>
      </w:pPr>
      <w:r>
        <w:rPr>
          <w:b/>
        </w:rPr>
        <w:t xml:space="preserve">Raport </w:t>
      </w:r>
      <w:r w:rsidRPr="00A00838">
        <w:rPr>
          <w:b/>
        </w:rPr>
        <w:t>z zarządzania ryzykiem w ……………………………………</w:t>
      </w:r>
      <w:r w:rsidR="00B85A08">
        <w:rPr>
          <w:b/>
        </w:rPr>
        <w:t>……………………………………….</w:t>
      </w:r>
    </w:p>
    <w:p w:rsidR="00FD265A" w:rsidRDefault="00FD265A" w:rsidP="00FD265A">
      <w:pPr>
        <w:jc w:val="center"/>
        <w:rPr>
          <w:b/>
        </w:rPr>
      </w:pPr>
      <w:r w:rsidRPr="00A00838">
        <w:rPr>
          <w:b/>
        </w:rPr>
        <w:t xml:space="preserve"> za ……. kwartał …………….. roku</w:t>
      </w:r>
    </w:p>
    <w:tbl>
      <w:tblPr>
        <w:tblStyle w:val="Tabela-Siatka"/>
        <w:tblW w:w="0" w:type="auto"/>
        <w:tblLook w:val="04A0" w:firstRow="1" w:lastRow="0" w:firstColumn="1" w:lastColumn="0" w:noHBand="0" w:noVBand="1"/>
      </w:tblPr>
      <w:tblGrid>
        <w:gridCol w:w="546"/>
        <w:gridCol w:w="2073"/>
        <w:gridCol w:w="1254"/>
        <w:gridCol w:w="1953"/>
        <w:gridCol w:w="1548"/>
        <w:gridCol w:w="1409"/>
        <w:gridCol w:w="2526"/>
        <w:gridCol w:w="2911"/>
      </w:tblGrid>
      <w:tr w:rsidR="00FD265A" w:rsidTr="00E02E67">
        <w:tc>
          <w:tcPr>
            <w:tcW w:w="546" w:type="dxa"/>
          </w:tcPr>
          <w:p w:rsidR="00FD265A" w:rsidRPr="00A00838" w:rsidRDefault="00FD265A" w:rsidP="00E02E67">
            <w:pPr>
              <w:jc w:val="center"/>
              <w:rPr>
                <w:b/>
              </w:rPr>
            </w:pPr>
            <w:r>
              <w:rPr>
                <w:b/>
              </w:rPr>
              <w:t>1</w:t>
            </w:r>
          </w:p>
        </w:tc>
        <w:tc>
          <w:tcPr>
            <w:tcW w:w="2073" w:type="dxa"/>
          </w:tcPr>
          <w:p w:rsidR="00FD265A" w:rsidRPr="00A00838" w:rsidRDefault="00FD265A" w:rsidP="00E02E67">
            <w:pPr>
              <w:jc w:val="center"/>
              <w:rPr>
                <w:b/>
              </w:rPr>
            </w:pPr>
            <w:r>
              <w:rPr>
                <w:b/>
              </w:rPr>
              <w:t>2</w:t>
            </w:r>
          </w:p>
        </w:tc>
        <w:tc>
          <w:tcPr>
            <w:tcW w:w="1254" w:type="dxa"/>
          </w:tcPr>
          <w:p w:rsidR="00FD265A" w:rsidRPr="00A00838" w:rsidRDefault="00FD265A" w:rsidP="00E02E67">
            <w:pPr>
              <w:jc w:val="center"/>
              <w:rPr>
                <w:b/>
              </w:rPr>
            </w:pPr>
            <w:r>
              <w:rPr>
                <w:b/>
              </w:rPr>
              <w:t>3</w:t>
            </w:r>
          </w:p>
        </w:tc>
        <w:tc>
          <w:tcPr>
            <w:tcW w:w="1953" w:type="dxa"/>
          </w:tcPr>
          <w:p w:rsidR="00FD265A" w:rsidRPr="00A00838" w:rsidRDefault="00FD265A" w:rsidP="00E02E67">
            <w:pPr>
              <w:jc w:val="center"/>
              <w:rPr>
                <w:b/>
              </w:rPr>
            </w:pPr>
            <w:r>
              <w:rPr>
                <w:b/>
              </w:rPr>
              <w:t>4</w:t>
            </w:r>
          </w:p>
        </w:tc>
        <w:tc>
          <w:tcPr>
            <w:tcW w:w="1548" w:type="dxa"/>
          </w:tcPr>
          <w:p w:rsidR="00FD265A" w:rsidRPr="00A00838" w:rsidRDefault="00FD265A" w:rsidP="00E02E67">
            <w:pPr>
              <w:jc w:val="center"/>
              <w:rPr>
                <w:b/>
              </w:rPr>
            </w:pPr>
            <w:r>
              <w:rPr>
                <w:b/>
              </w:rPr>
              <w:t>5</w:t>
            </w:r>
          </w:p>
        </w:tc>
        <w:tc>
          <w:tcPr>
            <w:tcW w:w="1409" w:type="dxa"/>
          </w:tcPr>
          <w:p w:rsidR="00FD265A" w:rsidRPr="00A00838" w:rsidRDefault="00FD265A" w:rsidP="00E02E67">
            <w:pPr>
              <w:jc w:val="center"/>
              <w:rPr>
                <w:b/>
              </w:rPr>
            </w:pPr>
            <w:r>
              <w:rPr>
                <w:b/>
              </w:rPr>
              <w:t>6</w:t>
            </w:r>
          </w:p>
        </w:tc>
        <w:tc>
          <w:tcPr>
            <w:tcW w:w="2526" w:type="dxa"/>
          </w:tcPr>
          <w:p w:rsidR="00FD265A" w:rsidRPr="00A00838" w:rsidRDefault="00FD265A" w:rsidP="00E02E67">
            <w:pPr>
              <w:jc w:val="center"/>
              <w:rPr>
                <w:b/>
              </w:rPr>
            </w:pPr>
            <w:r>
              <w:rPr>
                <w:b/>
              </w:rPr>
              <w:t>7</w:t>
            </w:r>
          </w:p>
        </w:tc>
        <w:tc>
          <w:tcPr>
            <w:tcW w:w="2911" w:type="dxa"/>
          </w:tcPr>
          <w:p w:rsidR="00FD265A" w:rsidRPr="00A00838" w:rsidRDefault="00FD265A" w:rsidP="00E02E67">
            <w:pPr>
              <w:jc w:val="center"/>
              <w:rPr>
                <w:b/>
              </w:rPr>
            </w:pPr>
            <w:r>
              <w:rPr>
                <w:b/>
              </w:rPr>
              <w:t>8</w:t>
            </w:r>
          </w:p>
        </w:tc>
      </w:tr>
      <w:tr w:rsidR="00FD265A" w:rsidTr="00E02E67">
        <w:tc>
          <w:tcPr>
            <w:tcW w:w="546" w:type="dxa"/>
            <w:vAlign w:val="center"/>
          </w:tcPr>
          <w:p w:rsidR="00FD265A" w:rsidRPr="00A00838" w:rsidRDefault="00FD265A" w:rsidP="00E02E67">
            <w:pPr>
              <w:jc w:val="center"/>
              <w:rPr>
                <w:b/>
              </w:rPr>
            </w:pPr>
            <w:r>
              <w:rPr>
                <w:b/>
              </w:rPr>
              <w:t>L.p.</w:t>
            </w:r>
          </w:p>
        </w:tc>
        <w:tc>
          <w:tcPr>
            <w:tcW w:w="2073" w:type="dxa"/>
            <w:vAlign w:val="center"/>
          </w:tcPr>
          <w:p w:rsidR="00FD265A" w:rsidRPr="00A00838" w:rsidRDefault="00FD265A" w:rsidP="00E02E67">
            <w:pPr>
              <w:jc w:val="center"/>
              <w:rPr>
                <w:b/>
              </w:rPr>
            </w:pPr>
            <w:r>
              <w:rPr>
                <w:b/>
              </w:rPr>
              <w:t>Cel</w:t>
            </w:r>
          </w:p>
        </w:tc>
        <w:tc>
          <w:tcPr>
            <w:tcW w:w="1254" w:type="dxa"/>
            <w:vAlign w:val="center"/>
          </w:tcPr>
          <w:p w:rsidR="00FD265A" w:rsidRPr="00A00838" w:rsidRDefault="00FD265A" w:rsidP="00E02E67">
            <w:pPr>
              <w:jc w:val="center"/>
              <w:rPr>
                <w:b/>
              </w:rPr>
            </w:pPr>
            <w:r>
              <w:rPr>
                <w:b/>
              </w:rPr>
              <w:t>Rodzaj celu (główny, zadaniowy, pozostały)</w:t>
            </w:r>
          </w:p>
        </w:tc>
        <w:tc>
          <w:tcPr>
            <w:tcW w:w="1953" w:type="dxa"/>
            <w:vAlign w:val="center"/>
          </w:tcPr>
          <w:p w:rsidR="00FD265A" w:rsidRPr="00A00838" w:rsidRDefault="00FD265A" w:rsidP="00E02E67">
            <w:pPr>
              <w:jc w:val="center"/>
              <w:rPr>
                <w:b/>
              </w:rPr>
            </w:pPr>
            <w:r>
              <w:rPr>
                <w:b/>
              </w:rPr>
              <w:t>Nazwa miernika</w:t>
            </w:r>
          </w:p>
        </w:tc>
        <w:tc>
          <w:tcPr>
            <w:tcW w:w="1548" w:type="dxa"/>
            <w:vAlign w:val="center"/>
          </w:tcPr>
          <w:p w:rsidR="00FD265A" w:rsidRPr="00A00838" w:rsidRDefault="00FD265A" w:rsidP="00E02E67">
            <w:pPr>
              <w:jc w:val="center"/>
              <w:rPr>
                <w:b/>
              </w:rPr>
            </w:pPr>
            <w:r>
              <w:rPr>
                <w:b/>
              </w:rPr>
              <w:t>Planowana wartość miernika na koniec roku</w:t>
            </w:r>
          </w:p>
        </w:tc>
        <w:tc>
          <w:tcPr>
            <w:tcW w:w="1409" w:type="dxa"/>
            <w:vAlign w:val="center"/>
          </w:tcPr>
          <w:p w:rsidR="00FD265A" w:rsidRPr="00A00838" w:rsidRDefault="00FD265A" w:rsidP="00E02E67">
            <w:pPr>
              <w:jc w:val="center"/>
              <w:rPr>
                <w:b/>
              </w:rPr>
            </w:pPr>
            <w:r>
              <w:rPr>
                <w:b/>
              </w:rPr>
              <w:t>Osiągnięta wartość miernika za …. kwartał</w:t>
            </w:r>
          </w:p>
        </w:tc>
        <w:tc>
          <w:tcPr>
            <w:tcW w:w="2526" w:type="dxa"/>
            <w:vAlign w:val="center"/>
          </w:tcPr>
          <w:p w:rsidR="00FD265A" w:rsidRPr="00B85A08" w:rsidRDefault="00FD265A" w:rsidP="00E02E67">
            <w:pPr>
              <w:jc w:val="center"/>
              <w:rPr>
                <w:b/>
                <w:vertAlign w:val="superscript"/>
              </w:rPr>
            </w:pPr>
            <w:r>
              <w:rPr>
                <w:b/>
              </w:rPr>
              <w:t>Zidentyfikowane kluczowe ryzyka nieosiągnięcia celu</w:t>
            </w:r>
            <w:r>
              <w:rPr>
                <w:rStyle w:val="Odwoanieprzypisudolnego"/>
                <w:b/>
              </w:rPr>
              <w:footnoteReference w:id="2"/>
            </w:r>
            <w:r w:rsidR="00B85A08">
              <w:rPr>
                <w:b/>
                <w:vertAlign w:val="superscript"/>
              </w:rPr>
              <w:t>)</w:t>
            </w:r>
          </w:p>
        </w:tc>
        <w:tc>
          <w:tcPr>
            <w:tcW w:w="2911" w:type="dxa"/>
            <w:vAlign w:val="center"/>
          </w:tcPr>
          <w:p w:rsidR="00FD265A" w:rsidRPr="00B85A08" w:rsidRDefault="00FD265A" w:rsidP="00E02E67">
            <w:pPr>
              <w:jc w:val="center"/>
              <w:rPr>
                <w:b/>
                <w:vertAlign w:val="superscript"/>
              </w:rPr>
            </w:pPr>
            <w:r>
              <w:rPr>
                <w:b/>
              </w:rPr>
              <w:t>Reakcja na ryzyko</w:t>
            </w:r>
            <w:r>
              <w:rPr>
                <w:rStyle w:val="Odwoanieprzypisudolnego"/>
                <w:b/>
              </w:rPr>
              <w:footnoteReference w:id="3"/>
            </w:r>
            <w:r w:rsidR="00B85A08">
              <w:rPr>
                <w:b/>
                <w:vertAlign w:val="superscript"/>
              </w:rPr>
              <w:t>)</w:t>
            </w:r>
          </w:p>
        </w:tc>
      </w:tr>
      <w:tr w:rsidR="00FD265A" w:rsidTr="00E02E67">
        <w:tc>
          <w:tcPr>
            <w:tcW w:w="546" w:type="dxa"/>
          </w:tcPr>
          <w:p w:rsidR="00FD265A" w:rsidRPr="008C0D2C" w:rsidRDefault="00FD265A" w:rsidP="00E02E67">
            <w:pPr>
              <w:jc w:val="center"/>
            </w:pPr>
            <w:r w:rsidRPr="008C0D2C">
              <w:t>1</w:t>
            </w:r>
          </w:p>
        </w:tc>
        <w:tc>
          <w:tcPr>
            <w:tcW w:w="2073" w:type="dxa"/>
          </w:tcPr>
          <w:p w:rsidR="00FD265A" w:rsidRDefault="00FD265A" w:rsidP="00E02E67">
            <w:pPr>
              <w:jc w:val="center"/>
              <w:rPr>
                <w:b/>
              </w:rPr>
            </w:pPr>
          </w:p>
        </w:tc>
        <w:tc>
          <w:tcPr>
            <w:tcW w:w="1254" w:type="dxa"/>
          </w:tcPr>
          <w:p w:rsidR="00FD265A" w:rsidRDefault="00FD265A" w:rsidP="00E02E67">
            <w:pPr>
              <w:jc w:val="center"/>
              <w:rPr>
                <w:b/>
              </w:rPr>
            </w:pPr>
          </w:p>
        </w:tc>
        <w:tc>
          <w:tcPr>
            <w:tcW w:w="1953" w:type="dxa"/>
          </w:tcPr>
          <w:p w:rsidR="00FD265A" w:rsidRDefault="00FD265A" w:rsidP="00E02E67">
            <w:pPr>
              <w:jc w:val="center"/>
              <w:rPr>
                <w:b/>
              </w:rPr>
            </w:pPr>
          </w:p>
        </w:tc>
        <w:tc>
          <w:tcPr>
            <w:tcW w:w="1548" w:type="dxa"/>
          </w:tcPr>
          <w:p w:rsidR="00FD265A" w:rsidRDefault="00FD265A" w:rsidP="00E02E67">
            <w:pPr>
              <w:jc w:val="center"/>
              <w:rPr>
                <w:b/>
              </w:rPr>
            </w:pPr>
          </w:p>
        </w:tc>
        <w:tc>
          <w:tcPr>
            <w:tcW w:w="1409" w:type="dxa"/>
          </w:tcPr>
          <w:p w:rsidR="00FD265A" w:rsidRDefault="00FD265A" w:rsidP="00E02E67">
            <w:pPr>
              <w:jc w:val="center"/>
              <w:rPr>
                <w:b/>
              </w:rPr>
            </w:pPr>
          </w:p>
        </w:tc>
        <w:tc>
          <w:tcPr>
            <w:tcW w:w="2526" w:type="dxa"/>
          </w:tcPr>
          <w:p w:rsidR="00FD265A" w:rsidRDefault="00FD265A" w:rsidP="00E02E67">
            <w:pPr>
              <w:jc w:val="center"/>
              <w:rPr>
                <w:b/>
              </w:rPr>
            </w:pPr>
          </w:p>
        </w:tc>
        <w:tc>
          <w:tcPr>
            <w:tcW w:w="2911" w:type="dxa"/>
          </w:tcPr>
          <w:p w:rsidR="00FD265A" w:rsidRDefault="00FD265A" w:rsidP="00E02E67">
            <w:pPr>
              <w:jc w:val="center"/>
              <w:rPr>
                <w:b/>
              </w:rPr>
            </w:pPr>
          </w:p>
        </w:tc>
      </w:tr>
      <w:tr w:rsidR="00FD265A" w:rsidTr="00E02E67">
        <w:tc>
          <w:tcPr>
            <w:tcW w:w="546" w:type="dxa"/>
          </w:tcPr>
          <w:p w:rsidR="00FD265A" w:rsidRPr="008C0D2C" w:rsidRDefault="00FD265A" w:rsidP="00E02E67">
            <w:pPr>
              <w:jc w:val="center"/>
            </w:pPr>
            <w:r w:rsidRPr="008C0D2C">
              <w:t>2</w:t>
            </w:r>
          </w:p>
        </w:tc>
        <w:tc>
          <w:tcPr>
            <w:tcW w:w="2073" w:type="dxa"/>
          </w:tcPr>
          <w:p w:rsidR="00FD265A" w:rsidRDefault="00FD265A" w:rsidP="00E02E67">
            <w:pPr>
              <w:jc w:val="center"/>
              <w:rPr>
                <w:b/>
              </w:rPr>
            </w:pPr>
          </w:p>
        </w:tc>
        <w:tc>
          <w:tcPr>
            <w:tcW w:w="1254" w:type="dxa"/>
          </w:tcPr>
          <w:p w:rsidR="00FD265A" w:rsidRDefault="00FD265A" w:rsidP="00E02E67">
            <w:pPr>
              <w:jc w:val="center"/>
              <w:rPr>
                <w:b/>
              </w:rPr>
            </w:pPr>
          </w:p>
        </w:tc>
        <w:tc>
          <w:tcPr>
            <w:tcW w:w="1953" w:type="dxa"/>
          </w:tcPr>
          <w:p w:rsidR="00FD265A" w:rsidRDefault="00FD265A" w:rsidP="00E02E67">
            <w:pPr>
              <w:jc w:val="center"/>
              <w:rPr>
                <w:b/>
              </w:rPr>
            </w:pPr>
          </w:p>
        </w:tc>
        <w:tc>
          <w:tcPr>
            <w:tcW w:w="1548" w:type="dxa"/>
          </w:tcPr>
          <w:p w:rsidR="00FD265A" w:rsidRDefault="00FD265A" w:rsidP="00E02E67">
            <w:pPr>
              <w:jc w:val="center"/>
              <w:rPr>
                <w:b/>
              </w:rPr>
            </w:pPr>
          </w:p>
        </w:tc>
        <w:tc>
          <w:tcPr>
            <w:tcW w:w="1409" w:type="dxa"/>
          </w:tcPr>
          <w:p w:rsidR="00FD265A" w:rsidRDefault="00FD265A" w:rsidP="00E02E67">
            <w:pPr>
              <w:jc w:val="center"/>
              <w:rPr>
                <w:b/>
              </w:rPr>
            </w:pPr>
          </w:p>
        </w:tc>
        <w:tc>
          <w:tcPr>
            <w:tcW w:w="2526" w:type="dxa"/>
          </w:tcPr>
          <w:p w:rsidR="00FD265A" w:rsidRDefault="00FD265A" w:rsidP="00E02E67">
            <w:pPr>
              <w:jc w:val="center"/>
              <w:rPr>
                <w:b/>
              </w:rPr>
            </w:pPr>
          </w:p>
        </w:tc>
        <w:tc>
          <w:tcPr>
            <w:tcW w:w="2911" w:type="dxa"/>
          </w:tcPr>
          <w:p w:rsidR="00FD265A" w:rsidRDefault="00FD265A" w:rsidP="00E02E67">
            <w:pPr>
              <w:jc w:val="center"/>
              <w:rPr>
                <w:b/>
              </w:rPr>
            </w:pPr>
          </w:p>
        </w:tc>
      </w:tr>
      <w:tr w:rsidR="00FD265A" w:rsidTr="00E02E67">
        <w:tc>
          <w:tcPr>
            <w:tcW w:w="546" w:type="dxa"/>
          </w:tcPr>
          <w:p w:rsidR="00FD265A" w:rsidRPr="008C0D2C" w:rsidRDefault="00FD265A" w:rsidP="00E02E67">
            <w:pPr>
              <w:jc w:val="center"/>
            </w:pPr>
            <w:r w:rsidRPr="008C0D2C">
              <w:t>3</w:t>
            </w:r>
          </w:p>
        </w:tc>
        <w:tc>
          <w:tcPr>
            <w:tcW w:w="2073" w:type="dxa"/>
          </w:tcPr>
          <w:p w:rsidR="00FD265A" w:rsidRDefault="00FD265A" w:rsidP="00E02E67">
            <w:pPr>
              <w:jc w:val="center"/>
              <w:rPr>
                <w:b/>
              </w:rPr>
            </w:pPr>
          </w:p>
        </w:tc>
        <w:tc>
          <w:tcPr>
            <w:tcW w:w="1254" w:type="dxa"/>
          </w:tcPr>
          <w:p w:rsidR="00FD265A" w:rsidRDefault="00FD265A" w:rsidP="00E02E67">
            <w:pPr>
              <w:jc w:val="center"/>
              <w:rPr>
                <w:b/>
              </w:rPr>
            </w:pPr>
          </w:p>
        </w:tc>
        <w:tc>
          <w:tcPr>
            <w:tcW w:w="1953" w:type="dxa"/>
          </w:tcPr>
          <w:p w:rsidR="00FD265A" w:rsidRDefault="00FD265A" w:rsidP="00E02E67">
            <w:pPr>
              <w:jc w:val="center"/>
              <w:rPr>
                <w:b/>
              </w:rPr>
            </w:pPr>
          </w:p>
        </w:tc>
        <w:tc>
          <w:tcPr>
            <w:tcW w:w="1548" w:type="dxa"/>
          </w:tcPr>
          <w:p w:rsidR="00FD265A" w:rsidRDefault="00FD265A" w:rsidP="00E02E67">
            <w:pPr>
              <w:jc w:val="center"/>
              <w:rPr>
                <w:b/>
              </w:rPr>
            </w:pPr>
          </w:p>
        </w:tc>
        <w:tc>
          <w:tcPr>
            <w:tcW w:w="1409" w:type="dxa"/>
          </w:tcPr>
          <w:p w:rsidR="00FD265A" w:rsidRDefault="00FD265A" w:rsidP="00E02E67">
            <w:pPr>
              <w:jc w:val="center"/>
              <w:rPr>
                <w:b/>
              </w:rPr>
            </w:pPr>
          </w:p>
        </w:tc>
        <w:tc>
          <w:tcPr>
            <w:tcW w:w="2526" w:type="dxa"/>
          </w:tcPr>
          <w:p w:rsidR="00FD265A" w:rsidRDefault="00FD265A" w:rsidP="00E02E67">
            <w:pPr>
              <w:jc w:val="center"/>
              <w:rPr>
                <w:b/>
              </w:rPr>
            </w:pPr>
          </w:p>
        </w:tc>
        <w:tc>
          <w:tcPr>
            <w:tcW w:w="2911" w:type="dxa"/>
          </w:tcPr>
          <w:p w:rsidR="00FD265A" w:rsidRDefault="00FD265A" w:rsidP="00E02E67">
            <w:pPr>
              <w:jc w:val="center"/>
              <w:rPr>
                <w:b/>
              </w:rPr>
            </w:pPr>
          </w:p>
        </w:tc>
      </w:tr>
      <w:tr w:rsidR="00FD265A" w:rsidTr="00E02E67">
        <w:tc>
          <w:tcPr>
            <w:tcW w:w="546" w:type="dxa"/>
          </w:tcPr>
          <w:p w:rsidR="00FD265A" w:rsidRPr="008C0D2C" w:rsidRDefault="00FD265A" w:rsidP="00E02E67">
            <w:pPr>
              <w:jc w:val="center"/>
            </w:pPr>
            <w:r w:rsidRPr="008C0D2C">
              <w:t>4</w:t>
            </w:r>
          </w:p>
        </w:tc>
        <w:tc>
          <w:tcPr>
            <w:tcW w:w="2073" w:type="dxa"/>
          </w:tcPr>
          <w:p w:rsidR="00FD265A" w:rsidRDefault="00FD265A" w:rsidP="00E02E67">
            <w:pPr>
              <w:jc w:val="center"/>
              <w:rPr>
                <w:b/>
              </w:rPr>
            </w:pPr>
          </w:p>
        </w:tc>
        <w:tc>
          <w:tcPr>
            <w:tcW w:w="1254" w:type="dxa"/>
          </w:tcPr>
          <w:p w:rsidR="00FD265A" w:rsidRDefault="00FD265A" w:rsidP="00E02E67">
            <w:pPr>
              <w:jc w:val="center"/>
              <w:rPr>
                <w:b/>
              </w:rPr>
            </w:pPr>
          </w:p>
        </w:tc>
        <w:tc>
          <w:tcPr>
            <w:tcW w:w="1953" w:type="dxa"/>
          </w:tcPr>
          <w:p w:rsidR="00FD265A" w:rsidRDefault="00FD265A" w:rsidP="00E02E67">
            <w:pPr>
              <w:jc w:val="center"/>
              <w:rPr>
                <w:b/>
              </w:rPr>
            </w:pPr>
          </w:p>
        </w:tc>
        <w:tc>
          <w:tcPr>
            <w:tcW w:w="1548" w:type="dxa"/>
          </w:tcPr>
          <w:p w:rsidR="00FD265A" w:rsidRDefault="00FD265A" w:rsidP="00E02E67">
            <w:pPr>
              <w:jc w:val="center"/>
              <w:rPr>
                <w:b/>
              </w:rPr>
            </w:pPr>
          </w:p>
        </w:tc>
        <w:tc>
          <w:tcPr>
            <w:tcW w:w="1409" w:type="dxa"/>
          </w:tcPr>
          <w:p w:rsidR="00FD265A" w:rsidRDefault="00FD265A" w:rsidP="00E02E67">
            <w:pPr>
              <w:jc w:val="center"/>
              <w:rPr>
                <w:b/>
              </w:rPr>
            </w:pPr>
          </w:p>
        </w:tc>
        <w:tc>
          <w:tcPr>
            <w:tcW w:w="2526" w:type="dxa"/>
          </w:tcPr>
          <w:p w:rsidR="00FD265A" w:rsidRDefault="00FD265A" w:rsidP="00E02E67">
            <w:pPr>
              <w:jc w:val="center"/>
              <w:rPr>
                <w:b/>
              </w:rPr>
            </w:pPr>
          </w:p>
        </w:tc>
        <w:tc>
          <w:tcPr>
            <w:tcW w:w="2911" w:type="dxa"/>
          </w:tcPr>
          <w:p w:rsidR="00FD265A" w:rsidRDefault="00FD265A" w:rsidP="00E02E67">
            <w:pPr>
              <w:jc w:val="center"/>
              <w:rPr>
                <w:b/>
              </w:rPr>
            </w:pPr>
          </w:p>
        </w:tc>
      </w:tr>
      <w:tr w:rsidR="00FD265A" w:rsidTr="00E02E67">
        <w:tc>
          <w:tcPr>
            <w:tcW w:w="546" w:type="dxa"/>
          </w:tcPr>
          <w:p w:rsidR="00FD265A" w:rsidRPr="008C0D2C" w:rsidRDefault="00FD265A" w:rsidP="00E02E67">
            <w:pPr>
              <w:jc w:val="center"/>
            </w:pPr>
            <w:r w:rsidRPr="008C0D2C">
              <w:t>5</w:t>
            </w:r>
          </w:p>
        </w:tc>
        <w:tc>
          <w:tcPr>
            <w:tcW w:w="2073" w:type="dxa"/>
          </w:tcPr>
          <w:p w:rsidR="00FD265A" w:rsidRDefault="00FD265A" w:rsidP="00E02E67">
            <w:pPr>
              <w:jc w:val="center"/>
              <w:rPr>
                <w:b/>
              </w:rPr>
            </w:pPr>
          </w:p>
        </w:tc>
        <w:tc>
          <w:tcPr>
            <w:tcW w:w="1254" w:type="dxa"/>
          </w:tcPr>
          <w:p w:rsidR="00FD265A" w:rsidRDefault="00FD265A" w:rsidP="00E02E67">
            <w:pPr>
              <w:jc w:val="center"/>
              <w:rPr>
                <w:b/>
              </w:rPr>
            </w:pPr>
          </w:p>
        </w:tc>
        <w:tc>
          <w:tcPr>
            <w:tcW w:w="1953" w:type="dxa"/>
          </w:tcPr>
          <w:p w:rsidR="00FD265A" w:rsidRDefault="00FD265A" w:rsidP="00E02E67">
            <w:pPr>
              <w:jc w:val="center"/>
              <w:rPr>
                <w:b/>
              </w:rPr>
            </w:pPr>
          </w:p>
        </w:tc>
        <w:tc>
          <w:tcPr>
            <w:tcW w:w="1548" w:type="dxa"/>
          </w:tcPr>
          <w:p w:rsidR="00FD265A" w:rsidRDefault="00FD265A" w:rsidP="00E02E67">
            <w:pPr>
              <w:jc w:val="center"/>
              <w:rPr>
                <w:b/>
              </w:rPr>
            </w:pPr>
          </w:p>
        </w:tc>
        <w:tc>
          <w:tcPr>
            <w:tcW w:w="1409" w:type="dxa"/>
          </w:tcPr>
          <w:p w:rsidR="00FD265A" w:rsidRDefault="00FD265A" w:rsidP="00E02E67">
            <w:pPr>
              <w:jc w:val="center"/>
              <w:rPr>
                <w:b/>
              </w:rPr>
            </w:pPr>
          </w:p>
        </w:tc>
        <w:tc>
          <w:tcPr>
            <w:tcW w:w="2526" w:type="dxa"/>
          </w:tcPr>
          <w:p w:rsidR="00FD265A" w:rsidRDefault="00FD265A" w:rsidP="00E02E67">
            <w:pPr>
              <w:jc w:val="center"/>
              <w:rPr>
                <w:b/>
              </w:rPr>
            </w:pPr>
          </w:p>
        </w:tc>
        <w:tc>
          <w:tcPr>
            <w:tcW w:w="2911" w:type="dxa"/>
          </w:tcPr>
          <w:p w:rsidR="00FD265A" w:rsidRDefault="00FD265A" w:rsidP="00E02E67">
            <w:pPr>
              <w:jc w:val="center"/>
              <w:rPr>
                <w:b/>
              </w:rPr>
            </w:pPr>
          </w:p>
        </w:tc>
      </w:tr>
    </w:tbl>
    <w:p w:rsidR="00FD265A" w:rsidRDefault="00FD265A" w:rsidP="00FD265A">
      <w:pPr>
        <w:rPr>
          <w:b/>
        </w:rPr>
      </w:pPr>
    </w:p>
    <w:p w:rsidR="00FD265A" w:rsidRDefault="00FD265A" w:rsidP="00FD265A">
      <w:pPr>
        <w:rPr>
          <w:b/>
        </w:rPr>
      </w:pPr>
    </w:p>
    <w:p w:rsidR="00FD265A" w:rsidRDefault="00FD265A" w:rsidP="00FD265A">
      <w:pPr>
        <w:rPr>
          <w:sz w:val="16"/>
          <w:szCs w:val="16"/>
        </w:rPr>
      </w:pPr>
      <w:r w:rsidRPr="00B65936">
        <w:rPr>
          <w:sz w:val="16"/>
          <w:szCs w:val="16"/>
        </w:rPr>
        <w:t>……………………………………………………</w:t>
      </w:r>
      <w:r>
        <w:rPr>
          <w:sz w:val="16"/>
          <w:szCs w:val="16"/>
        </w:rPr>
        <w:t>…………………………………..</w:t>
      </w:r>
      <w:r w:rsidRPr="00B65936">
        <w:rPr>
          <w:sz w:val="16"/>
          <w:szCs w:val="16"/>
        </w:rPr>
        <w:tab/>
      </w:r>
      <w:r w:rsidRPr="00B65936">
        <w:rPr>
          <w:sz w:val="16"/>
          <w:szCs w:val="16"/>
        </w:rPr>
        <w:tab/>
      </w:r>
      <w:r w:rsidRPr="00B65936">
        <w:rPr>
          <w:sz w:val="16"/>
          <w:szCs w:val="16"/>
        </w:rPr>
        <w:tab/>
      </w:r>
      <w:r w:rsidRPr="00B65936">
        <w:rPr>
          <w:sz w:val="16"/>
          <w:szCs w:val="16"/>
        </w:rPr>
        <w:tab/>
      </w:r>
      <w:r w:rsidRPr="00B65936">
        <w:rPr>
          <w:sz w:val="16"/>
          <w:szCs w:val="16"/>
        </w:rPr>
        <w:tab/>
      </w:r>
      <w:r>
        <w:rPr>
          <w:sz w:val="16"/>
          <w:szCs w:val="16"/>
        </w:rPr>
        <w:tab/>
      </w:r>
      <w:r w:rsidRPr="00B65936">
        <w:rPr>
          <w:sz w:val="16"/>
          <w:szCs w:val="16"/>
        </w:rPr>
        <w:t>…………………………………………………………………………………………………………………</w:t>
      </w:r>
      <w:r>
        <w:rPr>
          <w:sz w:val="16"/>
          <w:szCs w:val="16"/>
        </w:rPr>
        <w:t>………………………………..</w:t>
      </w:r>
    </w:p>
    <w:p w:rsidR="00FD265A" w:rsidRDefault="00FD265A" w:rsidP="00FD265A">
      <w:pPr>
        <w:spacing w:after="120" w:line="240" w:lineRule="auto"/>
        <w:rPr>
          <w:sz w:val="16"/>
          <w:szCs w:val="16"/>
        </w:rPr>
      </w:pPr>
      <w:r>
        <w:rPr>
          <w:sz w:val="16"/>
          <w:szCs w:val="16"/>
        </w:rPr>
        <w:t>imię i nazwisko osoby sporządzającej tabelę</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data i podpis osób odpowiedzialnych za funkcjonowanie kontroli zarządczej</w:t>
      </w:r>
    </w:p>
    <w:p w:rsidR="00FD265A" w:rsidRDefault="00FD265A" w:rsidP="00FD265A">
      <w:pPr>
        <w:spacing w:after="120" w:line="240" w:lineRule="auto"/>
        <w:rPr>
          <w:sz w:val="16"/>
          <w:szCs w:val="16"/>
        </w:rPr>
      </w:pPr>
      <w:r>
        <w:rPr>
          <w:sz w:val="16"/>
          <w:szCs w:val="16"/>
        </w:rPr>
        <w:t>(koordynator kontroli zarządczej w jednostce)</w:t>
      </w:r>
    </w:p>
    <w:p w:rsidR="00FD265A" w:rsidRDefault="00FD265A" w:rsidP="00FD265A">
      <w:pPr>
        <w:rPr>
          <w:sz w:val="16"/>
          <w:szCs w:val="16"/>
        </w:rPr>
      </w:pPr>
    </w:p>
    <w:p w:rsidR="00FD265A" w:rsidRDefault="00FD265A" w:rsidP="00FD265A">
      <w:pPr>
        <w:rPr>
          <w:sz w:val="16"/>
          <w:szCs w:val="16"/>
        </w:rPr>
      </w:pPr>
      <w:r>
        <w:rPr>
          <w:sz w:val="16"/>
          <w:szCs w:val="16"/>
        </w:rPr>
        <w:t>……………………………………………………………………………………………………………..</w:t>
      </w:r>
    </w:p>
    <w:p w:rsidR="00453547" w:rsidRDefault="00FD265A" w:rsidP="00FD265A">
      <w:pPr>
        <w:rPr>
          <w:sz w:val="16"/>
          <w:szCs w:val="16"/>
        </w:rPr>
      </w:pPr>
      <w:r>
        <w:rPr>
          <w:sz w:val="16"/>
          <w:szCs w:val="16"/>
        </w:rPr>
        <w:t xml:space="preserve">nr telefonu i adres e-mail </w:t>
      </w:r>
    </w:p>
    <w:p w:rsidR="0090377F" w:rsidRDefault="0090377F"/>
    <w:p w:rsidR="0090377F" w:rsidRDefault="0090377F" w:rsidP="00FD265A">
      <w:pPr>
        <w:sectPr w:rsidR="0090377F" w:rsidSect="006A3398">
          <w:headerReference w:type="default" r:id="rId10"/>
          <w:footerReference w:type="default" r:id="rId11"/>
          <w:footnotePr>
            <w:numRestart w:val="eachSect"/>
          </w:footnotePr>
          <w:pgSz w:w="16838" w:h="11906" w:orient="landscape"/>
          <w:pgMar w:top="426" w:right="1417" w:bottom="1417" w:left="1417" w:header="708" w:footer="708" w:gutter="0"/>
          <w:cols w:space="708"/>
          <w:docGrid w:linePitch="360"/>
        </w:sectPr>
      </w:pPr>
    </w:p>
    <w:p w:rsidR="0090377F" w:rsidRDefault="00A44227" w:rsidP="009352BB">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90377F" w:rsidRPr="000D6079">
        <w:rPr>
          <w:rFonts w:ascii="Times New Roman" w:hAnsi="Times New Roman" w:cs="Times New Roman"/>
          <w:b/>
          <w:sz w:val="24"/>
          <w:szCs w:val="24"/>
        </w:rPr>
        <w:t xml:space="preserve">Uzasadnienie </w:t>
      </w:r>
    </w:p>
    <w:p w:rsidR="0090377F" w:rsidRDefault="0090377F" w:rsidP="009352BB">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Niniejszy projekt uchyla obecnie obowiązujący Komunikat Ministra Sprawiedliwości </w:t>
      </w:r>
      <w:r>
        <w:rPr>
          <w:rFonts w:ascii="Times New Roman" w:hAnsi="Times New Roman" w:cs="Times New Roman"/>
          <w:sz w:val="24"/>
          <w:szCs w:val="24"/>
        </w:rPr>
        <w:br/>
        <w:t xml:space="preserve">z dn. 16 listopada 2011 roku </w:t>
      </w:r>
      <w:r w:rsidRPr="000D6079">
        <w:rPr>
          <w:rFonts w:ascii="Times New Roman" w:hAnsi="Times New Roman" w:cs="Times New Roman"/>
          <w:i/>
          <w:sz w:val="24"/>
          <w:szCs w:val="24"/>
        </w:rPr>
        <w:t>w sprawie szczegółowych wytycznych w zakresie kontroli zarządczej dla działu administracji rządowej sprawiedliwość</w:t>
      </w:r>
      <w:r>
        <w:rPr>
          <w:rFonts w:ascii="Times New Roman" w:hAnsi="Times New Roman" w:cs="Times New Roman"/>
          <w:sz w:val="24"/>
          <w:szCs w:val="24"/>
        </w:rPr>
        <w:t xml:space="preserve"> (Dz. Urz. Min. </w:t>
      </w:r>
      <w:proofErr w:type="spellStart"/>
      <w:r>
        <w:rPr>
          <w:rFonts w:ascii="Times New Roman" w:hAnsi="Times New Roman" w:cs="Times New Roman"/>
          <w:sz w:val="24"/>
          <w:szCs w:val="24"/>
        </w:rPr>
        <w:t>Sprawiedl</w:t>
      </w:r>
      <w:proofErr w:type="spellEnd"/>
      <w:r>
        <w:rPr>
          <w:rFonts w:ascii="Times New Roman" w:hAnsi="Times New Roman" w:cs="Times New Roman"/>
          <w:sz w:val="24"/>
          <w:szCs w:val="24"/>
        </w:rPr>
        <w:t xml:space="preserve">. </w:t>
      </w:r>
      <w:r>
        <w:rPr>
          <w:rFonts w:ascii="Times New Roman" w:hAnsi="Times New Roman" w:cs="Times New Roman"/>
          <w:sz w:val="24"/>
          <w:szCs w:val="24"/>
        </w:rPr>
        <w:br/>
        <w:t xml:space="preserve">z 2011 r. Nr 14, poz. 199) wprowadzając jednolity i kompletny system funkcjonowania kontroli zarządczej dla działu kierowanego przez Ministra Sprawiedliwości. </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Dyspozycja zawarta w art. 69 ust. 5 ustawy z 27 sierpnia 2009 roku o finansach publicznych (Dz. U. z 2013 r. Nr 885, z </w:t>
      </w:r>
      <w:proofErr w:type="spellStart"/>
      <w:r>
        <w:rPr>
          <w:rFonts w:ascii="Times New Roman" w:hAnsi="Times New Roman" w:cs="Times New Roman"/>
          <w:sz w:val="24"/>
          <w:szCs w:val="24"/>
        </w:rPr>
        <w:t>poźn</w:t>
      </w:r>
      <w:proofErr w:type="spellEnd"/>
      <w:r>
        <w:rPr>
          <w:rFonts w:ascii="Times New Roman" w:hAnsi="Times New Roman" w:cs="Times New Roman"/>
          <w:sz w:val="24"/>
          <w:szCs w:val="24"/>
        </w:rPr>
        <w:t xml:space="preserve">. zm.), upoważnia Ministra Sprawiedliwości do określenia </w:t>
      </w:r>
      <w:r>
        <w:rPr>
          <w:rFonts w:ascii="Times New Roman" w:hAnsi="Times New Roman" w:cs="Times New Roman"/>
          <w:sz w:val="24"/>
          <w:szCs w:val="24"/>
        </w:rPr>
        <w:br/>
        <w:t>w formie komunikatu szczegółowych wytycznych w zakresie kontroli zarządczej</w:t>
      </w:r>
      <w:r w:rsidRPr="006E7F1D">
        <w:rPr>
          <w:rFonts w:ascii="Times New Roman" w:hAnsi="Times New Roman" w:cs="Times New Roman"/>
          <w:sz w:val="24"/>
          <w:szCs w:val="24"/>
        </w:rPr>
        <w:t xml:space="preserve"> </w:t>
      </w:r>
      <w:r>
        <w:rPr>
          <w:rFonts w:ascii="Times New Roman" w:hAnsi="Times New Roman" w:cs="Times New Roman"/>
          <w:sz w:val="24"/>
          <w:szCs w:val="24"/>
        </w:rPr>
        <w:br/>
        <w:t xml:space="preserve">w kierowanym przez niego dziale administracji rządowej.  Ponadto art. 69 ust. 2 tej ustawy precyzuje, iż zapewnienie przez Ministra Sprawiedliwości funkcjonowania adekwatnej, skutecznej i efektywnej kontroli zarządczej, w zakresie spraw niezastrzeżonych odrębnymi przepisami do kompetencji innych organów państwowych, powinno się odbywać </w:t>
      </w:r>
      <w:r>
        <w:rPr>
          <w:rFonts w:ascii="Times New Roman" w:hAnsi="Times New Roman" w:cs="Times New Roman"/>
          <w:sz w:val="24"/>
          <w:szCs w:val="24"/>
        </w:rPr>
        <w:br/>
        <w:t xml:space="preserve">z uwzględnieniem zasady niezawisłości sędziowskiej. Z uwagi na obowiązujące w obszarze kontroli zarządczej regulacje (ustawę o finansach publicznych i wydane na jej podstawie rozporządzenia oraz komunikaty Ministra Finansów), projekt nie powiela rozwiązań tam zawartych, odnosząc się jedynie do zakresu, który ze względu na specyfikę działu tego wymaga. </w:t>
      </w:r>
    </w:p>
    <w:p w:rsidR="0090377F" w:rsidRPr="006E7F1D" w:rsidRDefault="0090377F" w:rsidP="0090377F">
      <w:pPr>
        <w:spacing w:line="360" w:lineRule="auto"/>
        <w:jc w:val="both"/>
        <w:rPr>
          <w:rFonts w:ascii="Times New Roman" w:hAnsi="Times New Roman" w:cs="Times New Roman"/>
          <w:b/>
          <w:sz w:val="24"/>
          <w:szCs w:val="24"/>
        </w:rPr>
      </w:pPr>
      <w:r w:rsidRPr="005A3B2D">
        <w:rPr>
          <w:rFonts w:ascii="Times New Roman" w:hAnsi="Times New Roman" w:cs="Times New Roman"/>
          <w:b/>
          <w:sz w:val="24"/>
          <w:szCs w:val="24"/>
        </w:rPr>
        <w:t xml:space="preserve">1. Realizacja ustawowego obowiązku zapewnienia funkcjonowania </w:t>
      </w:r>
      <w:r>
        <w:rPr>
          <w:rFonts w:ascii="Times New Roman" w:hAnsi="Times New Roman" w:cs="Times New Roman"/>
          <w:b/>
          <w:sz w:val="24"/>
          <w:szCs w:val="24"/>
        </w:rPr>
        <w:t>kontroli zarządczej w dziale administracji rządowej sprawiedliwość.</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Podstawowym celem wprowadzenia niniejszego projektu komunikatu jest realizacja ciążącego na Ministrze Sprawiedliwości</w:t>
      </w:r>
      <w:r w:rsidRPr="00B937F9">
        <w:rPr>
          <w:rFonts w:ascii="Times New Roman" w:hAnsi="Times New Roman" w:cs="Times New Roman"/>
          <w:sz w:val="24"/>
          <w:szCs w:val="24"/>
        </w:rPr>
        <w:t xml:space="preserve"> </w:t>
      </w:r>
      <w:r>
        <w:rPr>
          <w:rFonts w:ascii="Times New Roman" w:hAnsi="Times New Roman" w:cs="Times New Roman"/>
          <w:sz w:val="24"/>
          <w:szCs w:val="24"/>
        </w:rPr>
        <w:t xml:space="preserve">obowiązku zapewnienia funkcjonowania adekwatnej, skutecznej i efektywnej kontroli zarządczej (art. 69 ustawy o finansach publicznych), </w:t>
      </w:r>
      <w:r>
        <w:rPr>
          <w:rFonts w:ascii="Times New Roman" w:hAnsi="Times New Roman" w:cs="Times New Roman"/>
          <w:sz w:val="24"/>
          <w:szCs w:val="24"/>
        </w:rPr>
        <w:br/>
        <w:t xml:space="preserve">w ramach jego odpowiedzialności w tym zakresie, zgodnie z zasadą </w:t>
      </w:r>
      <w:proofErr w:type="spellStart"/>
      <w:r>
        <w:rPr>
          <w:rFonts w:ascii="Times New Roman" w:hAnsi="Times New Roman" w:cs="Times New Roman"/>
          <w:sz w:val="24"/>
          <w:szCs w:val="24"/>
        </w:rPr>
        <w:t>rozliczalności</w:t>
      </w:r>
      <w:proofErr w:type="spellEnd"/>
      <w:r>
        <w:rPr>
          <w:rFonts w:ascii="Times New Roman" w:hAnsi="Times New Roman" w:cs="Times New Roman"/>
          <w:sz w:val="24"/>
          <w:szCs w:val="24"/>
        </w:rPr>
        <w:t xml:space="preserve"> publicznej</w:t>
      </w:r>
      <w:r>
        <w:rPr>
          <w:rStyle w:val="Odwoanieprzypisudolnego"/>
          <w:rFonts w:ascii="Times New Roman" w:hAnsi="Times New Roman" w:cs="Times New Roman"/>
          <w:sz w:val="24"/>
          <w:szCs w:val="24"/>
        </w:rPr>
        <w:footnoteReference w:id="4"/>
      </w:r>
      <w:r>
        <w:rPr>
          <w:rFonts w:ascii="Times New Roman" w:hAnsi="Times New Roman" w:cs="Times New Roman"/>
          <w:sz w:val="24"/>
          <w:szCs w:val="24"/>
        </w:rPr>
        <w:t xml:space="preserve">. Wyrazem tej </w:t>
      </w:r>
      <w:proofErr w:type="spellStart"/>
      <w:r>
        <w:rPr>
          <w:rFonts w:ascii="Times New Roman" w:hAnsi="Times New Roman" w:cs="Times New Roman"/>
          <w:sz w:val="24"/>
          <w:szCs w:val="24"/>
        </w:rPr>
        <w:t>rozliczalności</w:t>
      </w:r>
      <w:proofErr w:type="spellEnd"/>
      <w:r>
        <w:rPr>
          <w:rFonts w:ascii="Times New Roman" w:hAnsi="Times New Roman" w:cs="Times New Roman"/>
          <w:sz w:val="24"/>
          <w:szCs w:val="24"/>
        </w:rPr>
        <w:t xml:space="preserve"> jest konieczność osobistego poświadczenia przez ministra (kierownika jednostki):</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celów i zadań dla działu (jednostki) sformułowanych w planie działalności,</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oświadczenia o stanie kontroli zarządczej,</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sprawozdania z wykonania planu działalności.</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W systemie kontroli zarządczej określonym ramowo w ustawie o finansach publicznych Minister kierujący działem pełni podwójną rolę. Zapewnia funkcjonowanie kontroli zarządczej zarówno w całym dziale administracji rządowej (zgodnie z zakresem wynikającym z ustawy z 4 września 1997 r. o działach administracji rządowej (</w:t>
      </w:r>
      <w:r w:rsidRPr="00314C7F">
        <w:rPr>
          <w:rFonts w:ascii="Times New Roman" w:hAnsi="Times New Roman" w:cs="Times New Roman"/>
          <w:sz w:val="24"/>
          <w:szCs w:val="24"/>
        </w:rPr>
        <w:t>Dz.</w:t>
      </w:r>
      <w:r>
        <w:rPr>
          <w:rFonts w:ascii="Times New Roman" w:hAnsi="Times New Roman" w:cs="Times New Roman"/>
          <w:sz w:val="24"/>
          <w:szCs w:val="24"/>
        </w:rPr>
        <w:t xml:space="preserve"> </w:t>
      </w:r>
      <w:r w:rsidRPr="00314C7F">
        <w:rPr>
          <w:rFonts w:ascii="Times New Roman" w:hAnsi="Times New Roman" w:cs="Times New Roman"/>
          <w:sz w:val="24"/>
          <w:szCs w:val="24"/>
        </w:rPr>
        <w:t>U.</w:t>
      </w:r>
      <w:r>
        <w:rPr>
          <w:rFonts w:ascii="Times New Roman" w:hAnsi="Times New Roman" w:cs="Times New Roman"/>
          <w:sz w:val="24"/>
          <w:szCs w:val="24"/>
        </w:rPr>
        <w:t xml:space="preserve"> z </w:t>
      </w:r>
      <w:r w:rsidRPr="00314C7F">
        <w:rPr>
          <w:rFonts w:ascii="Times New Roman" w:hAnsi="Times New Roman" w:cs="Times New Roman"/>
          <w:sz w:val="24"/>
          <w:szCs w:val="24"/>
        </w:rPr>
        <w:t>2013</w:t>
      </w:r>
      <w:r>
        <w:rPr>
          <w:rFonts w:ascii="Times New Roman" w:hAnsi="Times New Roman" w:cs="Times New Roman"/>
          <w:sz w:val="24"/>
          <w:szCs w:val="24"/>
        </w:rPr>
        <w:t xml:space="preserve"> r. poz. 743), jak również w ministerstwie go obsługującym (jako kierownik jednostki). Działania Ministra </w:t>
      </w:r>
      <w:r>
        <w:rPr>
          <w:rFonts w:ascii="Times New Roman" w:hAnsi="Times New Roman" w:cs="Times New Roman"/>
          <w:sz w:val="24"/>
          <w:szCs w:val="24"/>
        </w:rPr>
        <w:br/>
        <w:t xml:space="preserve">w odniesieniu do działu administracji rządowej sprawiedliwość można zatem określić jako harmonizowanie działań jednostek podległych i nadzorowanych w ramach posiadanych zadań i kompetencji. </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Rozdział I – przepisy ogólne, wskazuje osoby (organy), na których spoczywa odpowiedzialność za zapewnienie funkcjonowania kontroli zarządczej zarówno na I poziomie jej funkcjonowania (obejmującym jednostkę sektora finansów publicznych), jak też na II poziomie (dział administracji rządowej). W rozdziale tym wskazano również funkcję koordynatora kontroli zarządczej dla działu administracji rządowej sprawiedliwość, którą pełni Departament Strategii i Deregulacji Ministerstwa Sprawiedliwości. Organem doradczym Ministra Sprawiedliwości w przedmiotowym zakresie pozostaje natomiast Komitet Audytu. </w:t>
      </w:r>
    </w:p>
    <w:p w:rsidR="0090377F" w:rsidRDefault="0090377F" w:rsidP="0090377F">
      <w:pPr>
        <w:spacing w:line="360" w:lineRule="auto"/>
        <w:jc w:val="both"/>
        <w:rPr>
          <w:rFonts w:ascii="Times New Roman" w:hAnsi="Times New Roman" w:cs="Times New Roman"/>
          <w:sz w:val="24"/>
          <w:szCs w:val="24"/>
        </w:rPr>
      </w:pPr>
      <w:r w:rsidRPr="004D50F3">
        <w:rPr>
          <w:rFonts w:ascii="Times New Roman" w:hAnsi="Times New Roman" w:cs="Times New Roman"/>
          <w:sz w:val="24"/>
          <w:szCs w:val="24"/>
        </w:rPr>
        <w:t>W przypadku powszechnych jednostek organizacyjnych prokuratury, Minister Sprawiedliwości realizuje swoje zadania w zakresie kontroli zarządczej za pośrednictwem Prokuratora Generalnego (projekt komunikatu nie wprowadza zmian w tym zakresie). Podobnie jak to określał komunikat z dn. 16 listopada 2011 roku w sprawie szczegółowych wytycznych w zakresie kontroli zarządczej dla działu administracji rządowej sprawiedliwość, zapewnienie funkcjonowania wewnętrznej kontroli zarządczej (I poziom kontroli zarządczej) w Prokuraturze Generalnej należy do obowiązkó</w:t>
      </w:r>
      <w:r>
        <w:rPr>
          <w:rFonts w:ascii="Times New Roman" w:hAnsi="Times New Roman" w:cs="Times New Roman"/>
          <w:sz w:val="24"/>
          <w:szCs w:val="24"/>
        </w:rPr>
        <w:t xml:space="preserve">w Prokuratora Generalnego. Natomiast </w:t>
      </w:r>
      <w:r>
        <w:rPr>
          <w:rFonts w:ascii="Times New Roman" w:hAnsi="Times New Roman" w:cs="Times New Roman"/>
          <w:sz w:val="24"/>
          <w:szCs w:val="24"/>
        </w:rPr>
        <w:br/>
      </w:r>
      <w:r w:rsidRPr="004D50F3">
        <w:rPr>
          <w:rFonts w:ascii="Times New Roman" w:hAnsi="Times New Roman" w:cs="Times New Roman"/>
          <w:sz w:val="24"/>
          <w:szCs w:val="24"/>
        </w:rPr>
        <w:t>w powszechnych jednostkach organizacyjnych prokuratury, z wyłączeniem Prokuratury Generalnej, do obowiązków prokuratora apelacyjne</w:t>
      </w:r>
      <w:r>
        <w:rPr>
          <w:rFonts w:ascii="Times New Roman" w:hAnsi="Times New Roman" w:cs="Times New Roman"/>
          <w:sz w:val="24"/>
          <w:szCs w:val="24"/>
        </w:rPr>
        <w:t xml:space="preserve">go oraz prokuratora okręgowego </w:t>
      </w:r>
      <w:r>
        <w:rPr>
          <w:rFonts w:ascii="Times New Roman" w:hAnsi="Times New Roman" w:cs="Times New Roman"/>
          <w:sz w:val="24"/>
          <w:szCs w:val="24"/>
        </w:rPr>
        <w:br/>
      </w:r>
      <w:r w:rsidRPr="004D50F3">
        <w:rPr>
          <w:rFonts w:ascii="Times New Roman" w:hAnsi="Times New Roman" w:cs="Times New Roman"/>
          <w:sz w:val="24"/>
          <w:szCs w:val="24"/>
        </w:rPr>
        <w:t>w zakresie zadań przypisanych tym organom w ustawie o prokuraturze.</w:t>
      </w:r>
      <w:r>
        <w:rPr>
          <w:rFonts w:ascii="Times New Roman" w:hAnsi="Times New Roman" w:cs="Times New Roman"/>
          <w:sz w:val="24"/>
          <w:szCs w:val="24"/>
        </w:rPr>
        <w:t xml:space="preserve"> W ramach II poziomu kontroli zarządczej Prokurator Generalny</w:t>
      </w:r>
      <w:r w:rsidRPr="004D50F3">
        <w:rPr>
          <w:rFonts w:ascii="Times New Roman" w:hAnsi="Times New Roman" w:cs="Times New Roman"/>
          <w:sz w:val="24"/>
          <w:szCs w:val="24"/>
        </w:rPr>
        <w:t xml:space="preserve"> </w:t>
      </w:r>
      <w:r>
        <w:rPr>
          <w:rFonts w:ascii="Times New Roman" w:hAnsi="Times New Roman" w:cs="Times New Roman"/>
          <w:sz w:val="24"/>
          <w:szCs w:val="24"/>
        </w:rPr>
        <w:t xml:space="preserve">zapewnia </w:t>
      </w:r>
      <w:r w:rsidRPr="004D50F3">
        <w:rPr>
          <w:rFonts w:ascii="Times New Roman" w:hAnsi="Times New Roman" w:cs="Times New Roman"/>
          <w:sz w:val="24"/>
          <w:szCs w:val="24"/>
        </w:rPr>
        <w:t>funkcjonowani</w:t>
      </w:r>
      <w:r>
        <w:rPr>
          <w:rFonts w:ascii="Times New Roman" w:hAnsi="Times New Roman" w:cs="Times New Roman"/>
          <w:sz w:val="24"/>
          <w:szCs w:val="24"/>
        </w:rPr>
        <w:t xml:space="preserve">e kontroli zarządczej </w:t>
      </w:r>
      <w:r>
        <w:rPr>
          <w:rFonts w:ascii="Times New Roman" w:hAnsi="Times New Roman" w:cs="Times New Roman"/>
          <w:sz w:val="24"/>
          <w:szCs w:val="24"/>
        </w:rPr>
        <w:br/>
      </w:r>
      <w:r w:rsidRPr="004D50F3">
        <w:rPr>
          <w:rFonts w:ascii="Times New Roman" w:hAnsi="Times New Roman" w:cs="Times New Roman"/>
          <w:sz w:val="24"/>
          <w:szCs w:val="24"/>
        </w:rPr>
        <w:lastRenderedPageBreak/>
        <w:t xml:space="preserve">w stosunku do prokuratur apelacyjnych oraz </w:t>
      </w:r>
      <w:r>
        <w:rPr>
          <w:rFonts w:ascii="Times New Roman" w:hAnsi="Times New Roman" w:cs="Times New Roman"/>
          <w:sz w:val="24"/>
          <w:szCs w:val="24"/>
        </w:rPr>
        <w:t xml:space="preserve">za pośrednictwem </w:t>
      </w:r>
      <w:r w:rsidRPr="004D50F3">
        <w:rPr>
          <w:rFonts w:ascii="Times New Roman" w:hAnsi="Times New Roman" w:cs="Times New Roman"/>
          <w:sz w:val="24"/>
          <w:szCs w:val="24"/>
        </w:rPr>
        <w:t xml:space="preserve">prokuratorów apelacyjnych wobec prokuratur podległych. </w:t>
      </w:r>
    </w:p>
    <w:p w:rsidR="0090377F" w:rsidRDefault="0090377F" w:rsidP="0090377F">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 Planowanie strategiczne i zapewnienie spójności planowania przez jednostki </w:t>
      </w:r>
      <w:r>
        <w:rPr>
          <w:rFonts w:ascii="Times New Roman" w:hAnsi="Times New Roman" w:cs="Times New Roman"/>
          <w:b/>
          <w:sz w:val="24"/>
          <w:szCs w:val="24"/>
        </w:rPr>
        <w:br/>
        <w:t xml:space="preserve">w dziale (kaskadowanie celów i zadań z planu działalności Ministra). </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Projektowany system funkcjonowania kontroli zarządczej w dziale administracji rządowej sprawiedliwość kładzie nacisk na spójność planowania dla całego działu administracji rządowej sprawiedliwość. Punktem wyjścia w tym procesie jest tekst </w:t>
      </w:r>
      <w:r w:rsidRPr="007C1C54">
        <w:rPr>
          <w:rFonts w:ascii="Times New Roman" w:hAnsi="Times New Roman" w:cs="Times New Roman"/>
          <w:i/>
          <w:sz w:val="24"/>
          <w:szCs w:val="24"/>
        </w:rPr>
        <w:t>Strategii systemu wymiaru sprawiedliwości na lata 2014-2020</w:t>
      </w:r>
      <w:r>
        <w:rPr>
          <w:rFonts w:ascii="Times New Roman" w:hAnsi="Times New Roman" w:cs="Times New Roman"/>
          <w:sz w:val="24"/>
          <w:szCs w:val="24"/>
        </w:rPr>
        <w:t>, opracowany w Ministerstwie Sprawiedliwości w 2013 r., będący wynikiem zarówno prac zespołu roboczego, w którego skład wchodzili przedstawiciele jednostek w dziale jak również  konsultacji z przedstawicielami szeroko pojętego środowiska systemu wymiaru sprawiedliwości. Strategia określa kierunki strategiczne, spójne dla całego systemu wymiaru sprawiedliwości, na podstawie których wyznaczane są cele priorytetowe do planu działalności Ministra Sprawiedliwości dla działu administracji rządowej sprawiedliwość. Wyznaczone przez Ministra i wynikające z analizy strategicznej priorytetowe cele dla całego działu powinny być uwzględnione w planach działalności jednostek podległych i nadzorowanych w sposób zapewniający realizację celów na poziomie zakładanym przez Ministra. Powyższy mechanizm został opisany jako kaskadowanie celów.</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Zgodnie z projektem komunikatu, kluczową rolę w procesie kaskadowania celów pełnią jednostki spajające, to jest sądy apelacyjne, Centralny Zarząd Służby Więziennej </w:t>
      </w:r>
      <w:r>
        <w:rPr>
          <w:rFonts w:ascii="Times New Roman" w:hAnsi="Times New Roman" w:cs="Times New Roman"/>
          <w:sz w:val="24"/>
          <w:szCs w:val="24"/>
        </w:rPr>
        <w:br/>
        <w:t xml:space="preserve">i Departament Wykonania Orzeczeń i Probacji. Organizują one i koordynują proces kaskadowania na niższe szczeble struktury organizacyjnej w sposób umożliwiający sporządzenie planów działalności przez wszystkie jednostki do dnia </w:t>
      </w:r>
      <w:r w:rsidRPr="00403E49">
        <w:rPr>
          <w:rFonts w:ascii="Times New Roman" w:hAnsi="Times New Roman" w:cs="Times New Roman"/>
          <w:sz w:val="24"/>
          <w:szCs w:val="24"/>
        </w:rPr>
        <w:t>31 grudnia każdego roku</w:t>
      </w:r>
      <w:r>
        <w:rPr>
          <w:rFonts w:ascii="Times New Roman" w:hAnsi="Times New Roman" w:cs="Times New Roman"/>
          <w:sz w:val="24"/>
          <w:szCs w:val="24"/>
        </w:rPr>
        <w:t xml:space="preserve">. </w:t>
      </w:r>
    </w:p>
    <w:p w:rsidR="0090377F" w:rsidRPr="00EF3BFB"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Należy zauważyć, iż konsekwencją rozdzielenia funkcji Ministra Sprawiedliwości </w:t>
      </w:r>
      <w:r>
        <w:rPr>
          <w:rFonts w:ascii="Times New Roman" w:hAnsi="Times New Roman" w:cs="Times New Roman"/>
          <w:sz w:val="24"/>
          <w:szCs w:val="24"/>
        </w:rPr>
        <w:br/>
        <w:t xml:space="preserve">i Prokuratora Generalnego jest odrębność uregulowań dotyczących  powszechnych jednostek organizacyjnych prokuratury w zakresie kontroli zarządczej. Jednocześnie, zgodnie z ustawą </w:t>
      </w:r>
      <w:r w:rsidR="00234DEF">
        <w:rPr>
          <w:rFonts w:ascii="Times New Roman" w:hAnsi="Times New Roman" w:cs="Times New Roman"/>
          <w:sz w:val="24"/>
          <w:szCs w:val="24"/>
        </w:rPr>
        <w:t xml:space="preserve">z dnia 4 września 1997 r. </w:t>
      </w:r>
      <w:r>
        <w:rPr>
          <w:rFonts w:ascii="Times New Roman" w:hAnsi="Times New Roman" w:cs="Times New Roman"/>
          <w:sz w:val="24"/>
          <w:szCs w:val="24"/>
        </w:rPr>
        <w:t xml:space="preserve">o działach administracji rządowej, powszechne jednostki organizacyjne prokuratury przypisane są do działu administracji rządowej sprawiedliwość. Mając na uwadze powyższe uwarunkowania w projekcie wskazano, iż Prokurator Generalny, </w:t>
      </w:r>
      <w:r w:rsidRPr="004D50F3">
        <w:rPr>
          <w:rFonts w:ascii="Times New Roman" w:hAnsi="Times New Roman" w:cs="Times New Roman"/>
          <w:sz w:val="24"/>
          <w:szCs w:val="24"/>
        </w:rPr>
        <w:t>opracow</w:t>
      </w:r>
      <w:r>
        <w:rPr>
          <w:rFonts w:ascii="Times New Roman" w:hAnsi="Times New Roman" w:cs="Times New Roman"/>
          <w:sz w:val="24"/>
          <w:szCs w:val="24"/>
        </w:rPr>
        <w:t>uje</w:t>
      </w:r>
      <w:r w:rsidR="00234DEF">
        <w:rPr>
          <w:rFonts w:ascii="Times New Roman" w:hAnsi="Times New Roman" w:cs="Times New Roman"/>
          <w:sz w:val="24"/>
          <w:szCs w:val="24"/>
        </w:rPr>
        <w:t xml:space="preserve"> </w:t>
      </w:r>
      <w:r w:rsidRPr="004D50F3">
        <w:rPr>
          <w:rFonts w:ascii="Times New Roman" w:hAnsi="Times New Roman" w:cs="Times New Roman"/>
          <w:sz w:val="24"/>
          <w:szCs w:val="24"/>
        </w:rPr>
        <w:t>i przekaz</w:t>
      </w:r>
      <w:r>
        <w:rPr>
          <w:rFonts w:ascii="Times New Roman" w:hAnsi="Times New Roman" w:cs="Times New Roman"/>
          <w:sz w:val="24"/>
          <w:szCs w:val="24"/>
        </w:rPr>
        <w:t>uje</w:t>
      </w:r>
      <w:r w:rsidRPr="004D50F3">
        <w:rPr>
          <w:rFonts w:ascii="Times New Roman" w:hAnsi="Times New Roman" w:cs="Times New Roman"/>
          <w:sz w:val="24"/>
          <w:szCs w:val="24"/>
        </w:rPr>
        <w:t xml:space="preserve"> </w:t>
      </w:r>
      <w:r>
        <w:rPr>
          <w:rFonts w:ascii="Times New Roman" w:hAnsi="Times New Roman" w:cs="Times New Roman"/>
          <w:sz w:val="24"/>
          <w:szCs w:val="24"/>
        </w:rPr>
        <w:t>plan</w:t>
      </w:r>
      <w:r w:rsidRPr="004D50F3">
        <w:rPr>
          <w:rFonts w:ascii="Times New Roman" w:hAnsi="Times New Roman" w:cs="Times New Roman"/>
          <w:sz w:val="24"/>
          <w:szCs w:val="24"/>
        </w:rPr>
        <w:t xml:space="preserve"> działalności powszechnych jednost</w:t>
      </w:r>
      <w:r>
        <w:rPr>
          <w:rFonts w:ascii="Times New Roman" w:hAnsi="Times New Roman" w:cs="Times New Roman"/>
          <w:sz w:val="24"/>
          <w:szCs w:val="24"/>
        </w:rPr>
        <w:t xml:space="preserve">ek organizacyjnych prokuratury Ministrowi Sprawiedliwości </w:t>
      </w:r>
      <w:r w:rsidRPr="004D50F3">
        <w:rPr>
          <w:rFonts w:ascii="Times New Roman" w:hAnsi="Times New Roman" w:cs="Times New Roman"/>
          <w:sz w:val="24"/>
          <w:szCs w:val="24"/>
        </w:rPr>
        <w:t>w terminie umożliwiającym przekazanie planu działalności dla działu Prezesowi Rady Ministrów do dn. 31 października</w:t>
      </w:r>
      <w:r>
        <w:rPr>
          <w:rFonts w:ascii="Times New Roman" w:hAnsi="Times New Roman" w:cs="Times New Roman"/>
          <w:sz w:val="24"/>
          <w:szCs w:val="24"/>
        </w:rPr>
        <w:t>.</w:t>
      </w:r>
      <w:r w:rsidRPr="004D50F3">
        <w:rPr>
          <w:rFonts w:ascii="Times New Roman" w:hAnsi="Times New Roman" w:cs="Times New Roman"/>
          <w:sz w:val="24"/>
          <w:szCs w:val="24"/>
        </w:rPr>
        <w:t xml:space="preserve"> </w:t>
      </w:r>
    </w:p>
    <w:p w:rsidR="0090377F" w:rsidRPr="007178AF" w:rsidRDefault="0090377F" w:rsidP="0090377F">
      <w:pPr>
        <w:spacing w:line="360" w:lineRule="auto"/>
        <w:jc w:val="both"/>
        <w:rPr>
          <w:rFonts w:ascii="Times New Roman" w:hAnsi="Times New Roman" w:cs="Times New Roman"/>
          <w:b/>
          <w:sz w:val="24"/>
          <w:szCs w:val="24"/>
        </w:rPr>
      </w:pPr>
      <w:r w:rsidRPr="007178AF">
        <w:rPr>
          <w:rFonts w:ascii="Times New Roman" w:hAnsi="Times New Roman" w:cs="Times New Roman"/>
          <w:b/>
          <w:sz w:val="24"/>
          <w:szCs w:val="24"/>
        </w:rPr>
        <w:lastRenderedPageBreak/>
        <w:t>3. System monitorowania stopnia realizacji celów i zarządzania ryzykiem.</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Rozdziały III i IV komunikatu koncentrują się na systemie zarządzania ryzykiem oraz monitorowaniu i ocenie stopnia realizacji celów. Elementy te, obok planowania działalności, stanowią najważniejsze elementy systemu kontroli zarządczej. Zarządzanie ryzykiem obejmuje identyfikowanie, analizę ryzyka i reagowanie adekwatne do poziomu ryzyka. Jest to proces ciągły i powinien odnosić się do realizacji przez jednostkę zadań mających na celu osiągnięcie założonych w planie działalności celów.</w:t>
      </w:r>
      <w:r w:rsidRPr="007D14AF">
        <w:rPr>
          <w:rFonts w:ascii="Times New Roman" w:hAnsi="Times New Roman" w:cs="Times New Roman"/>
          <w:sz w:val="24"/>
          <w:szCs w:val="24"/>
        </w:rPr>
        <w:t xml:space="preserve"> </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W projekcie wskazano jednoznacznie, że zasadniczy proces identyfikacji ryzyka powinien być zintegrowany z procesem planowania działalności,</w:t>
      </w:r>
      <w:r w:rsidRPr="007D14AF">
        <w:rPr>
          <w:rFonts w:ascii="Times New Roman" w:hAnsi="Times New Roman" w:cs="Times New Roman"/>
          <w:sz w:val="24"/>
          <w:szCs w:val="24"/>
        </w:rPr>
        <w:t xml:space="preserve"> </w:t>
      </w:r>
      <w:r>
        <w:rPr>
          <w:rFonts w:ascii="Times New Roman" w:hAnsi="Times New Roman" w:cs="Times New Roman"/>
          <w:sz w:val="24"/>
          <w:szCs w:val="24"/>
        </w:rPr>
        <w:t xml:space="preserve">co jest niezbędne dla późniejszego właściwego zarządzania ryzykiem. Przeprowadzenie identyfikacji i analizy ryzyka na etapie planowania działalności umożliwia bowiem rezygnację z projektów obarczonych zbyt wysokim ryzykiem lub podjęcie (zaplanowanie) działań ograniczających ryzyko do poziomu akceptowalnego. </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 komunikacie określono obowiązek dokumentowania procesu zarządzania ryzykiem. Jednocześnie, w gestii kierowników jednostek w dziale oraz jednostek spajających </w:t>
      </w:r>
      <w:r w:rsidRPr="00325FBD">
        <w:rPr>
          <w:rFonts w:ascii="Times New Roman" w:hAnsi="Times New Roman" w:cs="Times New Roman"/>
          <w:sz w:val="24"/>
          <w:szCs w:val="24"/>
        </w:rPr>
        <w:t xml:space="preserve">pozostawiono </w:t>
      </w:r>
      <w:r>
        <w:rPr>
          <w:rFonts w:ascii="Times New Roman" w:hAnsi="Times New Roman" w:cs="Times New Roman"/>
          <w:sz w:val="24"/>
          <w:szCs w:val="24"/>
        </w:rPr>
        <w:t xml:space="preserve">opracowanie kryteriów analizy ryzyka oraz określenie poziomu akceptowanego ryzyka.  Do prowadzenia bieżącej analizy ryzyka kierownik (w ramach jednostki bądź też na obszarze działania jednostki) może wykorzystywać dowolny system (np. informatyczny), umożliwiający sporządzenie jednolitej informacji kwartalnej oraz zapewniający dokumentację procesu zarządzania ryzykiem. </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Zaprojektowany w komunikacie system kwartalnego raportowania służyć ma monitorowaniu stopnia realizacji celów i uprawdopodobnieniu realizacji zakładanych poziomów mierników na koniec roku. Takie podejście umożliwia podejmowanie w toku realizacji planu rocznego działań adekwatnych do ryzyka. Działania podejmowane w wyżej wymienionym zakresie określane są mianem zaradczych lub ograniczających. Proces analizy </w:t>
      </w:r>
      <w:r>
        <w:rPr>
          <w:rFonts w:ascii="Times New Roman" w:hAnsi="Times New Roman" w:cs="Times New Roman"/>
          <w:sz w:val="24"/>
          <w:szCs w:val="24"/>
        </w:rPr>
        <w:br/>
        <w:t xml:space="preserve">i podejmowania takich działań jest charakterystyczny dla podejścia menedżerskiego </w:t>
      </w:r>
      <w:r>
        <w:rPr>
          <w:rFonts w:ascii="Times New Roman" w:hAnsi="Times New Roman" w:cs="Times New Roman"/>
          <w:sz w:val="24"/>
          <w:szCs w:val="24"/>
        </w:rPr>
        <w:br/>
        <w:t xml:space="preserve">w zarządzaniu. W celu zapewnienia jednolitego systemu raportowania wprowadzono jako załącznik do komunikatu formularz „Informacja z zarządzania ryzykiem”, który </w:t>
      </w:r>
      <w:r>
        <w:rPr>
          <w:rFonts w:ascii="Times New Roman" w:hAnsi="Times New Roman" w:cs="Times New Roman"/>
          <w:sz w:val="24"/>
          <w:szCs w:val="24"/>
        </w:rPr>
        <w:br/>
        <w:t xml:space="preserve">w analogicznym kształcie był już wykorzystywany do raportowania za II i III kwartał 2013 roku. Standaryzacja raportów ma zapewnić ich porównywalność w zakresie prezentowanych danych. </w:t>
      </w:r>
    </w:p>
    <w:p w:rsidR="00867508" w:rsidRDefault="0090377F" w:rsidP="0090377F">
      <w:pPr>
        <w:spacing w:line="360" w:lineRule="auto"/>
        <w:jc w:val="both"/>
        <w:rPr>
          <w:rFonts w:ascii="Times New Roman" w:hAnsi="Times New Roman" w:cs="Times New Roman"/>
          <w:b/>
          <w:sz w:val="24"/>
          <w:szCs w:val="24"/>
        </w:rPr>
      </w:pPr>
      <w:r>
        <w:rPr>
          <w:rFonts w:ascii="Times New Roman" w:hAnsi="Times New Roman" w:cs="Times New Roman"/>
          <w:sz w:val="24"/>
          <w:szCs w:val="24"/>
        </w:rPr>
        <w:lastRenderedPageBreak/>
        <w:t xml:space="preserve">Konsekwencją zastosowania podejścia menadżerskiego jest powierzenie przygotowania zbiorczych raportów (I, II i III kwartał), sprawozdania rocznego oraz oświadczenia o stanie kontroli zarządczej kierownikom jednostek </w:t>
      </w:r>
      <w:r w:rsidRPr="00E31C28">
        <w:rPr>
          <w:rFonts w:ascii="Times New Roman" w:hAnsi="Times New Roman" w:cs="Times New Roman"/>
          <w:sz w:val="24"/>
          <w:szCs w:val="24"/>
        </w:rPr>
        <w:t xml:space="preserve">spajających funkcjonowanie kontroli zarządczej </w:t>
      </w:r>
      <w:r>
        <w:rPr>
          <w:rFonts w:ascii="Times New Roman" w:hAnsi="Times New Roman" w:cs="Times New Roman"/>
          <w:sz w:val="24"/>
          <w:szCs w:val="24"/>
        </w:rPr>
        <w:br/>
      </w:r>
      <w:r w:rsidRPr="00E31C28">
        <w:rPr>
          <w:rFonts w:ascii="Times New Roman" w:hAnsi="Times New Roman" w:cs="Times New Roman"/>
          <w:sz w:val="24"/>
          <w:szCs w:val="24"/>
        </w:rPr>
        <w:t>w jednostkach podległych (Sądów Apelacyjnych</w:t>
      </w:r>
      <w:r>
        <w:rPr>
          <w:rFonts w:ascii="Times New Roman" w:hAnsi="Times New Roman" w:cs="Times New Roman"/>
          <w:sz w:val="24"/>
          <w:szCs w:val="24"/>
        </w:rPr>
        <w:t xml:space="preserve"> dla obszaru apelacji</w:t>
      </w:r>
      <w:r w:rsidRPr="00E31C28">
        <w:rPr>
          <w:rFonts w:ascii="Times New Roman" w:hAnsi="Times New Roman" w:cs="Times New Roman"/>
          <w:sz w:val="24"/>
          <w:szCs w:val="24"/>
        </w:rPr>
        <w:t>, Departamentu Wykonania Orzeczeń i Probacji</w:t>
      </w:r>
      <w:r>
        <w:rPr>
          <w:rFonts w:ascii="Times New Roman" w:hAnsi="Times New Roman" w:cs="Times New Roman"/>
          <w:sz w:val="24"/>
          <w:szCs w:val="24"/>
        </w:rPr>
        <w:t xml:space="preserve"> dla Zakładów Poprawczych i Schronisk dla Nieletnich</w:t>
      </w:r>
      <w:r w:rsidRPr="00E31C28">
        <w:rPr>
          <w:rFonts w:ascii="Times New Roman" w:hAnsi="Times New Roman" w:cs="Times New Roman"/>
          <w:sz w:val="24"/>
          <w:szCs w:val="24"/>
        </w:rPr>
        <w:t xml:space="preserve"> oraz Centralnego Zarządu Służby Więziennej</w:t>
      </w:r>
      <w:r>
        <w:rPr>
          <w:rFonts w:ascii="Times New Roman" w:hAnsi="Times New Roman" w:cs="Times New Roman"/>
          <w:sz w:val="24"/>
          <w:szCs w:val="24"/>
        </w:rPr>
        <w:t xml:space="preserve"> dla jednostek organizacyjnych służby więziennej). </w:t>
      </w:r>
      <w:r w:rsidRPr="00E31C28">
        <w:rPr>
          <w:rFonts w:ascii="Times New Roman" w:hAnsi="Times New Roman" w:cs="Times New Roman"/>
          <w:sz w:val="24"/>
          <w:szCs w:val="24"/>
        </w:rPr>
        <w:t xml:space="preserve">Na podstawie otrzymanych zbiorczych raportów kwartalnych, Departament Strategii </w:t>
      </w:r>
      <w:r>
        <w:rPr>
          <w:rFonts w:ascii="Times New Roman" w:hAnsi="Times New Roman" w:cs="Times New Roman"/>
          <w:sz w:val="24"/>
          <w:szCs w:val="24"/>
        </w:rPr>
        <w:br/>
      </w:r>
      <w:r w:rsidRPr="00E31C28">
        <w:rPr>
          <w:rFonts w:ascii="Times New Roman" w:hAnsi="Times New Roman" w:cs="Times New Roman"/>
          <w:sz w:val="24"/>
          <w:szCs w:val="24"/>
        </w:rPr>
        <w:t>i Deregulacji</w:t>
      </w:r>
      <w:r>
        <w:rPr>
          <w:rFonts w:ascii="Times New Roman" w:hAnsi="Times New Roman" w:cs="Times New Roman"/>
          <w:sz w:val="24"/>
          <w:szCs w:val="24"/>
        </w:rPr>
        <w:t>,</w:t>
      </w:r>
      <w:r w:rsidRPr="00E31C28">
        <w:rPr>
          <w:rFonts w:ascii="Times New Roman" w:hAnsi="Times New Roman" w:cs="Times New Roman"/>
          <w:sz w:val="24"/>
          <w:szCs w:val="24"/>
        </w:rPr>
        <w:t xml:space="preserve"> </w:t>
      </w:r>
      <w:r>
        <w:rPr>
          <w:rFonts w:ascii="Times New Roman" w:hAnsi="Times New Roman" w:cs="Times New Roman"/>
          <w:sz w:val="24"/>
          <w:szCs w:val="24"/>
        </w:rPr>
        <w:t xml:space="preserve">jako koordynator funkcjonowania kontroli zarządczej w dziale </w:t>
      </w:r>
      <w:r w:rsidRPr="00E31C28">
        <w:rPr>
          <w:rFonts w:ascii="Times New Roman" w:hAnsi="Times New Roman" w:cs="Times New Roman"/>
          <w:sz w:val="24"/>
          <w:szCs w:val="24"/>
        </w:rPr>
        <w:t>opracowuje kwartalny raport ze stopnia realizacji celów</w:t>
      </w:r>
      <w:r>
        <w:rPr>
          <w:rFonts w:ascii="Times New Roman" w:hAnsi="Times New Roman" w:cs="Times New Roman"/>
          <w:sz w:val="24"/>
          <w:szCs w:val="24"/>
        </w:rPr>
        <w:t xml:space="preserve"> i osiągniętych wartości mierników</w:t>
      </w:r>
      <w:r w:rsidRPr="00E31C28">
        <w:rPr>
          <w:rFonts w:ascii="Times New Roman" w:hAnsi="Times New Roman" w:cs="Times New Roman"/>
          <w:sz w:val="24"/>
          <w:szCs w:val="24"/>
        </w:rPr>
        <w:t xml:space="preserve"> określonych </w:t>
      </w:r>
      <w:r>
        <w:rPr>
          <w:rFonts w:ascii="Times New Roman" w:hAnsi="Times New Roman" w:cs="Times New Roman"/>
          <w:sz w:val="24"/>
          <w:szCs w:val="24"/>
        </w:rPr>
        <w:br/>
      </w:r>
      <w:r w:rsidRPr="00E31C28">
        <w:rPr>
          <w:rFonts w:ascii="Times New Roman" w:hAnsi="Times New Roman" w:cs="Times New Roman"/>
          <w:sz w:val="24"/>
          <w:szCs w:val="24"/>
        </w:rPr>
        <w:t>w planie działalności dla działu</w:t>
      </w:r>
      <w:r>
        <w:rPr>
          <w:rFonts w:ascii="Times New Roman" w:hAnsi="Times New Roman" w:cs="Times New Roman"/>
          <w:sz w:val="24"/>
          <w:szCs w:val="24"/>
        </w:rPr>
        <w:t>. Raport ten zawiera</w:t>
      </w:r>
      <w:r w:rsidRPr="00E31C28">
        <w:rPr>
          <w:rFonts w:ascii="Times New Roman" w:hAnsi="Times New Roman" w:cs="Times New Roman"/>
          <w:sz w:val="24"/>
          <w:szCs w:val="24"/>
        </w:rPr>
        <w:t xml:space="preserve"> </w:t>
      </w:r>
      <w:r>
        <w:rPr>
          <w:rFonts w:ascii="Times New Roman" w:hAnsi="Times New Roman" w:cs="Times New Roman"/>
          <w:sz w:val="24"/>
          <w:szCs w:val="24"/>
        </w:rPr>
        <w:t>ocenę</w:t>
      </w:r>
      <w:r w:rsidRPr="00E31C28">
        <w:rPr>
          <w:rFonts w:ascii="Times New Roman" w:hAnsi="Times New Roman" w:cs="Times New Roman"/>
          <w:sz w:val="24"/>
          <w:szCs w:val="24"/>
        </w:rPr>
        <w:t xml:space="preserve"> ryzyka/prawdopodobieństwa nieosiągnięcia</w:t>
      </w:r>
      <w:r>
        <w:rPr>
          <w:rFonts w:ascii="Times New Roman" w:hAnsi="Times New Roman" w:cs="Times New Roman"/>
          <w:sz w:val="24"/>
          <w:szCs w:val="24"/>
        </w:rPr>
        <w:t xml:space="preserve"> wartości mierników na zakładanym dla działu poziomie</w:t>
      </w:r>
      <w:r w:rsidRPr="00E31C28">
        <w:rPr>
          <w:rFonts w:ascii="Times New Roman" w:hAnsi="Times New Roman" w:cs="Times New Roman"/>
          <w:sz w:val="24"/>
          <w:szCs w:val="24"/>
        </w:rPr>
        <w:t xml:space="preserve"> </w:t>
      </w:r>
      <w:r>
        <w:rPr>
          <w:rFonts w:ascii="Times New Roman" w:hAnsi="Times New Roman" w:cs="Times New Roman"/>
          <w:sz w:val="24"/>
          <w:szCs w:val="24"/>
        </w:rPr>
        <w:t xml:space="preserve">i jest </w:t>
      </w:r>
      <w:r w:rsidRPr="00E31C28">
        <w:rPr>
          <w:rFonts w:ascii="Times New Roman" w:hAnsi="Times New Roman" w:cs="Times New Roman"/>
          <w:sz w:val="24"/>
          <w:szCs w:val="24"/>
        </w:rPr>
        <w:t>przedkłada</w:t>
      </w:r>
      <w:r>
        <w:rPr>
          <w:rFonts w:ascii="Times New Roman" w:hAnsi="Times New Roman" w:cs="Times New Roman"/>
          <w:sz w:val="24"/>
          <w:szCs w:val="24"/>
        </w:rPr>
        <w:t>ny</w:t>
      </w:r>
      <w:r w:rsidRPr="00E31C28">
        <w:rPr>
          <w:rFonts w:ascii="Times New Roman" w:hAnsi="Times New Roman" w:cs="Times New Roman"/>
          <w:sz w:val="24"/>
          <w:szCs w:val="24"/>
        </w:rPr>
        <w:t xml:space="preserve"> Ministrowi Sprawiedliwości.</w:t>
      </w:r>
      <w:r>
        <w:rPr>
          <w:rFonts w:ascii="Times New Roman" w:hAnsi="Times New Roman" w:cs="Times New Roman"/>
          <w:sz w:val="24"/>
          <w:szCs w:val="24"/>
        </w:rPr>
        <w:t xml:space="preserve"> </w:t>
      </w:r>
      <w:r w:rsidRPr="00E31C28">
        <w:rPr>
          <w:rFonts w:ascii="Times New Roman" w:hAnsi="Times New Roman" w:cs="Times New Roman"/>
          <w:sz w:val="24"/>
          <w:szCs w:val="24"/>
        </w:rPr>
        <w:t xml:space="preserve">    </w:t>
      </w:r>
    </w:p>
    <w:p w:rsidR="0090377F" w:rsidRDefault="0090377F" w:rsidP="0090377F">
      <w:pPr>
        <w:spacing w:line="360" w:lineRule="auto"/>
        <w:jc w:val="both"/>
        <w:rPr>
          <w:rFonts w:ascii="Times New Roman" w:hAnsi="Times New Roman" w:cs="Times New Roman"/>
          <w:b/>
          <w:sz w:val="24"/>
          <w:szCs w:val="24"/>
        </w:rPr>
      </w:pPr>
      <w:r>
        <w:rPr>
          <w:rFonts w:ascii="Times New Roman" w:hAnsi="Times New Roman" w:cs="Times New Roman"/>
          <w:b/>
          <w:sz w:val="24"/>
          <w:szCs w:val="24"/>
        </w:rPr>
        <w:t>4. Podsumowanie.</w:t>
      </w:r>
    </w:p>
    <w:p w:rsidR="0090377F"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Kontrola zarządcza będąc przejawem ukierunkowania administracji publicznej na zwiększenie skuteczności i efektywności działania poszczególnych jednostek w dziale poprzez stałe usprawnianie zarządzania (podejście menedżerskie) powinna być postrzegana jako realne narzędzie w kierowaniu jednostką. </w:t>
      </w:r>
    </w:p>
    <w:p w:rsidR="0090377F" w:rsidRPr="000D6079" w:rsidRDefault="0090377F" w:rsidP="0090377F">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597B8B">
        <w:rPr>
          <w:rFonts w:ascii="Times New Roman" w:hAnsi="Times New Roman" w:cs="Times New Roman"/>
          <w:sz w:val="24"/>
          <w:szCs w:val="24"/>
        </w:rPr>
        <w:t xml:space="preserve">rojektowany </w:t>
      </w:r>
      <w:r>
        <w:rPr>
          <w:rFonts w:ascii="Times New Roman" w:hAnsi="Times New Roman" w:cs="Times New Roman"/>
          <w:sz w:val="24"/>
          <w:szCs w:val="24"/>
        </w:rPr>
        <w:t>k</w:t>
      </w:r>
      <w:r w:rsidRPr="00597B8B">
        <w:rPr>
          <w:rFonts w:ascii="Times New Roman" w:hAnsi="Times New Roman" w:cs="Times New Roman"/>
          <w:sz w:val="24"/>
          <w:szCs w:val="24"/>
        </w:rPr>
        <w:t xml:space="preserve">omunikat kładzie nacisk na zasadę kaskadowania. Jest ona obecna zarówno na etapie planowania poprzez przeniesienie celów i określających je mierników </w:t>
      </w:r>
      <w:r>
        <w:rPr>
          <w:rFonts w:ascii="Times New Roman" w:hAnsi="Times New Roman" w:cs="Times New Roman"/>
          <w:sz w:val="24"/>
          <w:szCs w:val="24"/>
        </w:rPr>
        <w:br/>
      </w:r>
      <w:r w:rsidRPr="00597B8B">
        <w:rPr>
          <w:rFonts w:ascii="Times New Roman" w:hAnsi="Times New Roman" w:cs="Times New Roman"/>
          <w:sz w:val="24"/>
          <w:szCs w:val="24"/>
        </w:rPr>
        <w:t xml:space="preserve">z planu działalności dla działu, kolejno do wszystkich jednostek w dziale (stosownie do podporządkowania wynikającego z przepisów odrębnych), jak i na etapie raportowania ze stopnia realizacji celów. Projektowana konstrukcja kaskadowania umożliwić powinna nie </w:t>
      </w:r>
      <w:r>
        <w:rPr>
          <w:rFonts w:ascii="Times New Roman" w:hAnsi="Times New Roman" w:cs="Times New Roman"/>
          <w:sz w:val="24"/>
          <w:szCs w:val="24"/>
        </w:rPr>
        <w:t xml:space="preserve">tylko zapewnienie jednolitości </w:t>
      </w:r>
      <w:r w:rsidRPr="00597B8B">
        <w:rPr>
          <w:rFonts w:ascii="Times New Roman" w:hAnsi="Times New Roman" w:cs="Times New Roman"/>
          <w:sz w:val="24"/>
          <w:szCs w:val="24"/>
        </w:rPr>
        <w:t>w ramach kwartalnego raportowania z zakresu realizacji celów z planu działalności dla działu we wszystkich jednostkach ale przede wszystkim uprawdopodobnienie ich zrealizowania w okresie rocznym na</w:t>
      </w:r>
      <w:r>
        <w:rPr>
          <w:rFonts w:ascii="Times New Roman" w:hAnsi="Times New Roman" w:cs="Times New Roman"/>
          <w:sz w:val="24"/>
          <w:szCs w:val="24"/>
        </w:rPr>
        <w:t xml:space="preserve"> zakładanym dla działu poziomie. Proponowane podejście ma na celu zachowanie</w:t>
      </w:r>
      <w:r w:rsidRPr="00597B8B">
        <w:rPr>
          <w:rFonts w:ascii="Times New Roman" w:hAnsi="Times New Roman" w:cs="Times New Roman"/>
          <w:sz w:val="24"/>
          <w:szCs w:val="24"/>
        </w:rPr>
        <w:t xml:space="preserve"> autonomii kierowników jednostek w zakresie zarządzania ryzykiem (uwzględniającym zarówno specyfikę poszczególnych jednostek jak i sferę niezawisłości sędziowskiej).</w:t>
      </w:r>
      <w:r>
        <w:rPr>
          <w:rFonts w:ascii="Times New Roman" w:hAnsi="Times New Roman" w:cs="Times New Roman"/>
          <w:sz w:val="24"/>
          <w:szCs w:val="24"/>
        </w:rPr>
        <w:t xml:space="preserve"> </w:t>
      </w:r>
    </w:p>
    <w:p w:rsidR="0090377F" w:rsidRPr="00B65936" w:rsidRDefault="0090377F" w:rsidP="0090377F">
      <w:pPr>
        <w:jc w:val="both"/>
      </w:pPr>
    </w:p>
    <w:p w:rsidR="00B65936" w:rsidRPr="00B65936" w:rsidRDefault="00B65936" w:rsidP="0090377F">
      <w:pPr>
        <w:ind w:left="7080"/>
        <w:jc w:val="both"/>
      </w:pPr>
    </w:p>
    <w:sectPr w:rsidR="00B65936" w:rsidRPr="00B65936" w:rsidSect="00453547">
      <w:footerReference w:type="default" r:id="rId12"/>
      <w:footnotePr>
        <w:numRestart w:val="eachSect"/>
      </w:footnotePr>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D57" w:rsidRDefault="00842D57" w:rsidP="001D0B29">
      <w:pPr>
        <w:spacing w:after="0" w:line="240" w:lineRule="auto"/>
      </w:pPr>
      <w:r>
        <w:separator/>
      </w:r>
    </w:p>
  </w:endnote>
  <w:endnote w:type="continuationSeparator" w:id="0">
    <w:p w:rsidR="00842D57" w:rsidRDefault="00842D57" w:rsidP="001D0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2319905"/>
      <w:docPartObj>
        <w:docPartGallery w:val="Page Numbers (Bottom of Page)"/>
        <w:docPartUnique/>
      </w:docPartObj>
    </w:sdtPr>
    <w:sdtEndPr/>
    <w:sdtContent>
      <w:p w:rsidR="00566C73" w:rsidRDefault="00566C73" w:rsidP="00D3278E">
        <w:pPr>
          <w:pStyle w:val="Stopka"/>
          <w:jc w:val="center"/>
        </w:pPr>
      </w:p>
      <w:p w:rsidR="00D62A0F" w:rsidRDefault="000D09FE" w:rsidP="00784E8F">
        <w:pPr>
          <w:pStyle w:val="Stopka"/>
          <w:tabs>
            <w:tab w:val="left" w:pos="6855"/>
            <w:tab w:val="center" w:pos="7002"/>
          </w:tabs>
          <w:jc w:val="center"/>
        </w:pPr>
        <w:r>
          <w:fldChar w:fldCharType="begin"/>
        </w:r>
        <w:r w:rsidR="00566C73">
          <w:instrText>PAGE    \* MERGEFORMAT</w:instrText>
        </w:r>
        <w:r>
          <w:fldChar w:fldCharType="separate"/>
        </w:r>
        <w:r w:rsidR="004C100F">
          <w:rPr>
            <w:noProof/>
          </w:rPr>
          <w:t>1</w:t>
        </w:r>
        <w:r>
          <w:fldChar w:fldCharType="end"/>
        </w:r>
      </w:p>
    </w:sdtContent>
  </w:sdt>
  <w:p w:rsidR="00566C73" w:rsidRDefault="00566C7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508" w:rsidRDefault="00867508">
    <w:pPr>
      <w:pStyle w:val="Stopka"/>
      <w:jc w:val="center"/>
    </w:pPr>
  </w:p>
  <w:p w:rsidR="003157A5" w:rsidRDefault="003157A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2561318"/>
      <w:docPartObj>
        <w:docPartGallery w:val="Page Numbers (Bottom of Page)"/>
        <w:docPartUnique/>
      </w:docPartObj>
    </w:sdtPr>
    <w:sdtEndPr/>
    <w:sdtContent>
      <w:p w:rsidR="00867508" w:rsidRDefault="00867508">
        <w:pPr>
          <w:pStyle w:val="Stopka"/>
          <w:jc w:val="center"/>
        </w:pPr>
        <w:r>
          <w:fldChar w:fldCharType="begin"/>
        </w:r>
        <w:r>
          <w:instrText>PAGE   \* MERGEFORMAT</w:instrText>
        </w:r>
        <w:r>
          <w:fldChar w:fldCharType="separate"/>
        </w:r>
        <w:r w:rsidR="004C100F">
          <w:rPr>
            <w:noProof/>
          </w:rPr>
          <w:t>5</w:t>
        </w:r>
        <w:r>
          <w:fldChar w:fldCharType="end"/>
        </w:r>
      </w:p>
    </w:sdtContent>
  </w:sdt>
  <w:p w:rsidR="00867508" w:rsidRDefault="0086750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D57" w:rsidRDefault="00842D57" w:rsidP="001D0B29">
      <w:pPr>
        <w:spacing w:after="0" w:line="240" w:lineRule="auto"/>
      </w:pPr>
      <w:r>
        <w:separator/>
      </w:r>
    </w:p>
  </w:footnote>
  <w:footnote w:type="continuationSeparator" w:id="0">
    <w:p w:rsidR="00842D57" w:rsidRDefault="00842D57" w:rsidP="001D0B29">
      <w:pPr>
        <w:spacing w:after="0" w:line="240" w:lineRule="auto"/>
      </w:pPr>
      <w:r>
        <w:continuationSeparator/>
      </w:r>
    </w:p>
  </w:footnote>
  <w:footnote w:id="1">
    <w:p w:rsidR="009B47FA" w:rsidRPr="009B47FA" w:rsidRDefault="009B47FA" w:rsidP="009B47FA">
      <w:pPr>
        <w:pStyle w:val="Tekstprzypisudolnego"/>
      </w:pPr>
      <w:r>
        <w:rPr>
          <w:rStyle w:val="Odwoanieprzypisudolnego"/>
        </w:rPr>
        <w:footnoteRef/>
      </w:r>
      <w:r>
        <w:rPr>
          <w:vertAlign w:val="superscript"/>
        </w:rPr>
        <w:t>)</w:t>
      </w:r>
      <w:r>
        <w:t xml:space="preserve">Zmiany tekstu jednolitego wymienionej ustawy zostały ogłoszone w </w:t>
      </w:r>
      <w:proofErr w:type="spellStart"/>
      <w:r>
        <w:t>Dz.U</w:t>
      </w:r>
      <w:proofErr w:type="spellEnd"/>
      <w:r>
        <w:t xml:space="preserve">. z 2013 r. poz. 662 , 1165 oraz </w:t>
      </w:r>
      <w:r w:rsidR="0097027E">
        <w:br/>
      </w:r>
      <w:r>
        <w:t xml:space="preserve">z 2014 r. poz. </w:t>
      </w:r>
      <w:r w:rsidR="00251BB8">
        <w:t>31.</w:t>
      </w:r>
    </w:p>
  </w:footnote>
  <w:footnote w:id="2">
    <w:p w:rsidR="00FD265A" w:rsidRDefault="00B85A08" w:rsidP="00FD265A">
      <w:pPr>
        <w:pStyle w:val="Tekstprzypisudolnego"/>
      </w:pPr>
      <w:r>
        <w:rPr>
          <w:rStyle w:val="Odwoanieprzypisudolnego"/>
        </w:rPr>
        <w:t>1)</w:t>
      </w:r>
      <w:r w:rsidR="00FD265A">
        <w:t xml:space="preserve"> maksymalnie 3 dla danego miernika</w:t>
      </w:r>
    </w:p>
  </w:footnote>
  <w:footnote w:id="3">
    <w:p w:rsidR="00FD265A" w:rsidRDefault="00B85A08" w:rsidP="00FD265A">
      <w:pPr>
        <w:pStyle w:val="Tekstprzypisudolnego"/>
      </w:pPr>
      <w:r>
        <w:rPr>
          <w:rStyle w:val="Odwoanieprzypisudolnego"/>
        </w:rPr>
        <w:t>2</w:t>
      </w:r>
      <w:r>
        <w:rPr>
          <w:vertAlign w:val="superscript"/>
        </w:rPr>
        <w:t>)</w:t>
      </w:r>
      <w:r w:rsidR="00FD265A">
        <w:t xml:space="preserve"> zwięzły opis planowanych/podjętych (nie więcej niż 5) kluczowych działań</w:t>
      </w:r>
    </w:p>
  </w:footnote>
  <w:footnote w:id="4">
    <w:p w:rsidR="0090377F" w:rsidRPr="00A15F61" w:rsidRDefault="0090377F" w:rsidP="0090377F">
      <w:pPr>
        <w:pStyle w:val="Tekstprzypisudolnego"/>
        <w:jc w:val="both"/>
        <w:rPr>
          <w:rFonts w:ascii="Times New Roman" w:hAnsi="Times New Roman" w:cs="Times New Roman"/>
        </w:rPr>
      </w:pPr>
      <w:r w:rsidRPr="00A15F61">
        <w:rPr>
          <w:rStyle w:val="Odwoanieprzypisudolnego"/>
          <w:rFonts w:ascii="Times New Roman" w:hAnsi="Times New Roman" w:cs="Times New Roman"/>
        </w:rPr>
        <w:footnoteRef/>
      </w:r>
      <w:r w:rsidRPr="00A15F61">
        <w:rPr>
          <w:rFonts w:ascii="Times New Roman" w:hAnsi="Times New Roman" w:cs="Times New Roman"/>
        </w:rPr>
        <w:t xml:space="preserve"> </w:t>
      </w:r>
      <w:proofErr w:type="spellStart"/>
      <w:r w:rsidRPr="00A15F61">
        <w:rPr>
          <w:rFonts w:ascii="Times New Roman" w:hAnsi="Times New Roman" w:cs="Times New Roman"/>
        </w:rPr>
        <w:t>Rozliczalność</w:t>
      </w:r>
      <w:proofErr w:type="spellEnd"/>
      <w:r w:rsidRPr="00A15F61">
        <w:rPr>
          <w:rFonts w:ascii="Times New Roman" w:hAnsi="Times New Roman" w:cs="Times New Roman"/>
        </w:rPr>
        <w:t xml:space="preserve"> publiczna (</w:t>
      </w:r>
      <w:proofErr w:type="spellStart"/>
      <w:r w:rsidRPr="00A15F61">
        <w:rPr>
          <w:rFonts w:ascii="Times New Roman" w:hAnsi="Times New Roman" w:cs="Times New Roman"/>
          <w:i/>
        </w:rPr>
        <w:t>Accountability</w:t>
      </w:r>
      <w:proofErr w:type="spellEnd"/>
      <w:r w:rsidRPr="00A15F61">
        <w:rPr>
          <w:rFonts w:ascii="Times New Roman" w:hAnsi="Times New Roman" w:cs="Times New Roman"/>
          <w:i/>
        </w:rPr>
        <w:t>)</w:t>
      </w:r>
      <w:r w:rsidRPr="00A15F61">
        <w:rPr>
          <w:rFonts w:ascii="Times New Roman" w:hAnsi="Times New Roman" w:cs="Times New Roman"/>
        </w:rPr>
        <w:t xml:space="preserve"> oznacza, że osoby nadzorujące realizację programów publicznych lub kierujące ministerstwem są odpowiedzialne za ich wydajne i skuteczne funkcjonowanie. </w:t>
      </w:r>
      <w:proofErr w:type="spellStart"/>
      <w:r w:rsidRPr="00A15F61">
        <w:rPr>
          <w:rFonts w:ascii="Times New Roman" w:hAnsi="Times New Roman" w:cs="Times New Roman"/>
        </w:rPr>
        <w:t>Rozliczalność</w:t>
      </w:r>
      <w:proofErr w:type="spellEnd"/>
      <w:r w:rsidRPr="00A15F61">
        <w:rPr>
          <w:rFonts w:ascii="Times New Roman" w:hAnsi="Times New Roman" w:cs="Times New Roman"/>
        </w:rPr>
        <w:t xml:space="preserve"> zakłada publiczny wgląd w działania realizowane w ramach programu lub ministerstwa. Kontrola wykonania zadań stanowi dla podatników, finansistów, władzy ustawodawczej i wykonawczej, obywateli oraz mediów sposób „sprawowania kontroli ” i zaznajamiania się z realizacją i rezultatami różnych działań publicznych. Kontrola wykonania zadań odpowiada także na pytania takie, jak: czy wyniki działań są satysfakcjonujące w stosunku do zainwestowanych w ich realizację środków oraz czy można byłoby zainwestowane pieniądze wydać lepiej lub rozsądniej? Kryterium dobrego gospodarowania zakłada, że kontroli poddawane są wszystkie usługi (lub programy) publiczne.</w:t>
      </w:r>
      <w:r>
        <w:rPr>
          <w:rFonts w:ascii="Times New Roman" w:hAnsi="Times New Roman" w:cs="Times New Roman"/>
        </w:rPr>
        <w:t xml:space="preserve"> (</w:t>
      </w:r>
      <w:r w:rsidRPr="00AC47CE">
        <w:rPr>
          <w:rFonts w:ascii="Times New Roman" w:hAnsi="Times New Roman" w:cs="Times New Roman"/>
          <w:i/>
        </w:rPr>
        <w:t>Standardy i wytyczne kontroli wykonania zadań na podstawie standardów kontroli INTOSAI i praktyki</w:t>
      </w:r>
      <w:r>
        <w:rPr>
          <w:rFonts w:ascii="Times New Roman" w:hAnsi="Times New Roman" w:cs="Times New Roman"/>
          <w:i/>
        </w:rPr>
        <w:t xml:space="preserve">, </w:t>
      </w:r>
      <w:r w:rsidRPr="00AC47CE">
        <w:rPr>
          <w:rFonts w:ascii="Times New Roman" w:hAnsi="Times New Roman" w:cs="Times New Roman"/>
        </w:rPr>
        <w:t>Najwyższa Izba Kontroli, Warszawa, 2009</w:t>
      </w:r>
      <w:r>
        <w:rPr>
          <w:rFonts w:ascii="Times New Roman" w:hAnsi="Times New Roman" w:cs="Times New Roman"/>
        </w:rPr>
        <w:t xml:space="preserve">) </w:t>
      </w:r>
      <w:r w:rsidRPr="00AC47CE">
        <w:rPr>
          <w:rFonts w:ascii="Times New Roman" w:hAnsi="Times New Roman" w:cs="Times New Roman"/>
        </w:rPr>
        <w:t>http://www.nik.gov.pl/plik/id,2047.pdf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508" w:rsidRDefault="0086750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EC1"/>
    <w:multiLevelType w:val="hybridMultilevel"/>
    <w:tmpl w:val="A36E317C"/>
    <w:lvl w:ilvl="0" w:tplc="A098970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4DE6E1A"/>
    <w:multiLevelType w:val="hybridMultilevel"/>
    <w:tmpl w:val="F252E0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5B550F4"/>
    <w:multiLevelType w:val="hybridMultilevel"/>
    <w:tmpl w:val="CCA6A3E2"/>
    <w:lvl w:ilvl="0" w:tplc="A520533C">
      <w:start w:val="1"/>
      <w:numFmt w:val="bullet"/>
      <w:lvlText w:val="•"/>
      <w:lvlJc w:val="left"/>
      <w:pPr>
        <w:tabs>
          <w:tab w:val="num" w:pos="720"/>
        </w:tabs>
        <w:ind w:left="720" w:hanging="360"/>
      </w:pPr>
      <w:rPr>
        <w:rFonts w:ascii="Times New Roman" w:hAnsi="Times New Roman" w:hint="default"/>
      </w:rPr>
    </w:lvl>
    <w:lvl w:ilvl="1" w:tplc="89C00132" w:tentative="1">
      <w:start w:val="1"/>
      <w:numFmt w:val="bullet"/>
      <w:lvlText w:val="•"/>
      <w:lvlJc w:val="left"/>
      <w:pPr>
        <w:tabs>
          <w:tab w:val="num" w:pos="1440"/>
        </w:tabs>
        <w:ind w:left="1440" w:hanging="360"/>
      </w:pPr>
      <w:rPr>
        <w:rFonts w:ascii="Times New Roman" w:hAnsi="Times New Roman" w:hint="default"/>
      </w:rPr>
    </w:lvl>
    <w:lvl w:ilvl="2" w:tplc="375AE428" w:tentative="1">
      <w:start w:val="1"/>
      <w:numFmt w:val="bullet"/>
      <w:lvlText w:val="•"/>
      <w:lvlJc w:val="left"/>
      <w:pPr>
        <w:tabs>
          <w:tab w:val="num" w:pos="2160"/>
        </w:tabs>
        <w:ind w:left="2160" w:hanging="360"/>
      </w:pPr>
      <w:rPr>
        <w:rFonts w:ascii="Times New Roman" w:hAnsi="Times New Roman" w:hint="default"/>
      </w:rPr>
    </w:lvl>
    <w:lvl w:ilvl="3" w:tplc="5840E35E" w:tentative="1">
      <w:start w:val="1"/>
      <w:numFmt w:val="bullet"/>
      <w:lvlText w:val="•"/>
      <w:lvlJc w:val="left"/>
      <w:pPr>
        <w:tabs>
          <w:tab w:val="num" w:pos="2880"/>
        </w:tabs>
        <w:ind w:left="2880" w:hanging="360"/>
      </w:pPr>
      <w:rPr>
        <w:rFonts w:ascii="Times New Roman" w:hAnsi="Times New Roman" w:hint="default"/>
      </w:rPr>
    </w:lvl>
    <w:lvl w:ilvl="4" w:tplc="23AE2080" w:tentative="1">
      <w:start w:val="1"/>
      <w:numFmt w:val="bullet"/>
      <w:lvlText w:val="•"/>
      <w:lvlJc w:val="left"/>
      <w:pPr>
        <w:tabs>
          <w:tab w:val="num" w:pos="3600"/>
        </w:tabs>
        <w:ind w:left="3600" w:hanging="360"/>
      </w:pPr>
      <w:rPr>
        <w:rFonts w:ascii="Times New Roman" w:hAnsi="Times New Roman" w:hint="default"/>
      </w:rPr>
    </w:lvl>
    <w:lvl w:ilvl="5" w:tplc="423ED0F6" w:tentative="1">
      <w:start w:val="1"/>
      <w:numFmt w:val="bullet"/>
      <w:lvlText w:val="•"/>
      <w:lvlJc w:val="left"/>
      <w:pPr>
        <w:tabs>
          <w:tab w:val="num" w:pos="4320"/>
        </w:tabs>
        <w:ind w:left="4320" w:hanging="360"/>
      </w:pPr>
      <w:rPr>
        <w:rFonts w:ascii="Times New Roman" w:hAnsi="Times New Roman" w:hint="default"/>
      </w:rPr>
    </w:lvl>
    <w:lvl w:ilvl="6" w:tplc="FEF472D0" w:tentative="1">
      <w:start w:val="1"/>
      <w:numFmt w:val="bullet"/>
      <w:lvlText w:val="•"/>
      <w:lvlJc w:val="left"/>
      <w:pPr>
        <w:tabs>
          <w:tab w:val="num" w:pos="5040"/>
        </w:tabs>
        <w:ind w:left="5040" w:hanging="360"/>
      </w:pPr>
      <w:rPr>
        <w:rFonts w:ascii="Times New Roman" w:hAnsi="Times New Roman" w:hint="default"/>
      </w:rPr>
    </w:lvl>
    <w:lvl w:ilvl="7" w:tplc="2E5CF022" w:tentative="1">
      <w:start w:val="1"/>
      <w:numFmt w:val="bullet"/>
      <w:lvlText w:val="•"/>
      <w:lvlJc w:val="left"/>
      <w:pPr>
        <w:tabs>
          <w:tab w:val="num" w:pos="5760"/>
        </w:tabs>
        <w:ind w:left="5760" w:hanging="360"/>
      </w:pPr>
      <w:rPr>
        <w:rFonts w:ascii="Times New Roman" w:hAnsi="Times New Roman" w:hint="default"/>
      </w:rPr>
    </w:lvl>
    <w:lvl w:ilvl="8" w:tplc="0832D3AE" w:tentative="1">
      <w:start w:val="1"/>
      <w:numFmt w:val="bullet"/>
      <w:lvlText w:val="•"/>
      <w:lvlJc w:val="left"/>
      <w:pPr>
        <w:tabs>
          <w:tab w:val="num" w:pos="6480"/>
        </w:tabs>
        <w:ind w:left="6480" w:hanging="360"/>
      </w:pPr>
      <w:rPr>
        <w:rFonts w:ascii="Times New Roman" w:hAnsi="Times New Roman" w:hint="default"/>
      </w:rPr>
    </w:lvl>
  </w:abstractNum>
  <w:abstractNum w:abstractNumId="3">
    <w:nsid w:val="64864420"/>
    <w:multiLevelType w:val="hybridMultilevel"/>
    <w:tmpl w:val="26784C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FA1"/>
    <w:rsid w:val="00000FAF"/>
    <w:rsid w:val="0000294C"/>
    <w:rsid w:val="00021791"/>
    <w:rsid w:val="00023B68"/>
    <w:rsid w:val="0003280B"/>
    <w:rsid w:val="00035D93"/>
    <w:rsid w:val="00042173"/>
    <w:rsid w:val="00050426"/>
    <w:rsid w:val="00056456"/>
    <w:rsid w:val="0007288A"/>
    <w:rsid w:val="000918C3"/>
    <w:rsid w:val="00094B69"/>
    <w:rsid w:val="000B4CD2"/>
    <w:rsid w:val="000B5AF7"/>
    <w:rsid w:val="000B6E57"/>
    <w:rsid w:val="000C0070"/>
    <w:rsid w:val="000C7DC2"/>
    <w:rsid w:val="000D09FE"/>
    <w:rsid w:val="000D19B3"/>
    <w:rsid w:val="000D1D7E"/>
    <w:rsid w:val="000D6A34"/>
    <w:rsid w:val="000D71B6"/>
    <w:rsid w:val="000E106E"/>
    <w:rsid w:val="000F733A"/>
    <w:rsid w:val="001132DC"/>
    <w:rsid w:val="00116EB4"/>
    <w:rsid w:val="00125091"/>
    <w:rsid w:val="00142F14"/>
    <w:rsid w:val="001444FC"/>
    <w:rsid w:val="00146CF9"/>
    <w:rsid w:val="00150328"/>
    <w:rsid w:val="001513F6"/>
    <w:rsid w:val="00153392"/>
    <w:rsid w:val="00153BEB"/>
    <w:rsid w:val="0018648D"/>
    <w:rsid w:val="001A28F7"/>
    <w:rsid w:val="001B00F9"/>
    <w:rsid w:val="001C2564"/>
    <w:rsid w:val="001C25D4"/>
    <w:rsid w:val="001D0B29"/>
    <w:rsid w:val="001F60BF"/>
    <w:rsid w:val="002048C8"/>
    <w:rsid w:val="00206257"/>
    <w:rsid w:val="00210259"/>
    <w:rsid w:val="00214237"/>
    <w:rsid w:val="00214BF6"/>
    <w:rsid w:val="00231A5F"/>
    <w:rsid w:val="00234DEF"/>
    <w:rsid w:val="0025063C"/>
    <w:rsid w:val="00251BB8"/>
    <w:rsid w:val="00253E72"/>
    <w:rsid w:val="00257BFE"/>
    <w:rsid w:val="00281372"/>
    <w:rsid w:val="0028273D"/>
    <w:rsid w:val="00287819"/>
    <w:rsid w:val="0029060D"/>
    <w:rsid w:val="00296868"/>
    <w:rsid w:val="002B4C58"/>
    <w:rsid w:val="002B6432"/>
    <w:rsid w:val="002C228D"/>
    <w:rsid w:val="002D6E9D"/>
    <w:rsid w:val="002F42A5"/>
    <w:rsid w:val="002F68AE"/>
    <w:rsid w:val="002F693D"/>
    <w:rsid w:val="003138C6"/>
    <w:rsid w:val="003157A5"/>
    <w:rsid w:val="00330184"/>
    <w:rsid w:val="0033638D"/>
    <w:rsid w:val="00342149"/>
    <w:rsid w:val="00363062"/>
    <w:rsid w:val="003634A9"/>
    <w:rsid w:val="00384ACA"/>
    <w:rsid w:val="003862A8"/>
    <w:rsid w:val="003920D9"/>
    <w:rsid w:val="003A18C6"/>
    <w:rsid w:val="003A25B9"/>
    <w:rsid w:val="003B7276"/>
    <w:rsid w:val="003D67B6"/>
    <w:rsid w:val="003F6630"/>
    <w:rsid w:val="00404909"/>
    <w:rsid w:val="00412B10"/>
    <w:rsid w:val="004140EC"/>
    <w:rsid w:val="00425993"/>
    <w:rsid w:val="00427AB1"/>
    <w:rsid w:val="0043263C"/>
    <w:rsid w:val="00432B07"/>
    <w:rsid w:val="00451CD3"/>
    <w:rsid w:val="00453547"/>
    <w:rsid w:val="00453D8C"/>
    <w:rsid w:val="0046140B"/>
    <w:rsid w:val="00466131"/>
    <w:rsid w:val="00470B8F"/>
    <w:rsid w:val="00483935"/>
    <w:rsid w:val="004848DE"/>
    <w:rsid w:val="00490D90"/>
    <w:rsid w:val="004A0E44"/>
    <w:rsid w:val="004A5063"/>
    <w:rsid w:val="004B0129"/>
    <w:rsid w:val="004C100F"/>
    <w:rsid w:val="004C191E"/>
    <w:rsid w:val="004C2846"/>
    <w:rsid w:val="004C5D94"/>
    <w:rsid w:val="004E79B6"/>
    <w:rsid w:val="004F2376"/>
    <w:rsid w:val="004F2ED5"/>
    <w:rsid w:val="004F3CCF"/>
    <w:rsid w:val="004F5213"/>
    <w:rsid w:val="004F7895"/>
    <w:rsid w:val="005026DB"/>
    <w:rsid w:val="005132EA"/>
    <w:rsid w:val="00531B0F"/>
    <w:rsid w:val="00536FA2"/>
    <w:rsid w:val="00542B95"/>
    <w:rsid w:val="005533D5"/>
    <w:rsid w:val="00553C5F"/>
    <w:rsid w:val="0055497E"/>
    <w:rsid w:val="00561917"/>
    <w:rsid w:val="00561B0C"/>
    <w:rsid w:val="00565D5D"/>
    <w:rsid w:val="00566C73"/>
    <w:rsid w:val="00581AB5"/>
    <w:rsid w:val="00582329"/>
    <w:rsid w:val="00584B2A"/>
    <w:rsid w:val="005904C9"/>
    <w:rsid w:val="00593998"/>
    <w:rsid w:val="005A799B"/>
    <w:rsid w:val="005C24E4"/>
    <w:rsid w:val="005C7733"/>
    <w:rsid w:val="005D075C"/>
    <w:rsid w:val="005D1A3C"/>
    <w:rsid w:val="005D6CED"/>
    <w:rsid w:val="005E0304"/>
    <w:rsid w:val="00611650"/>
    <w:rsid w:val="0061246C"/>
    <w:rsid w:val="0061739A"/>
    <w:rsid w:val="00622581"/>
    <w:rsid w:val="00640222"/>
    <w:rsid w:val="00644E44"/>
    <w:rsid w:val="00647283"/>
    <w:rsid w:val="00647EFA"/>
    <w:rsid w:val="00650CA3"/>
    <w:rsid w:val="0065596F"/>
    <w:rsid w:val="0066134F"/>
    <w:rsid w:val="0066676A"/>
    <w:rsid w:val="00671BD2"/>
    <w:rsid w:val="00680FF5"/>
    <w:rsid w:val="00684624"/>
    <w:rsid w:val="00694739"/>
    <w:rsid w:val="00696B38"/>
    <w:rsid w:val="006A3398"/>
    <w:rsid w:val="006B2E0C"/>
    <w:rsid w:val="006B5759"/>
    <w:rsid w:val="006B7F0F"/>
    <w:rsid w:val="006C68DC"/>
    <w:rsid w:val="006C75D4"/>
    <w:rsid w:val="006D51C8"/>
    <w:rsid w:val="006E5F04"/>
    <w:rsid w:val="006F10C4"/>
    <w:rsid w:val="006F43C1"/>
    <w:rsid w:val="006F488D"/>
    <w:rsid w:val="006F6F68"/>
    <w:rsid w:val="00700627"/>
    <w:rsid w:val="00712B46"/>
    <w:rsid w:val="007212ED"/>
    <w:rsid w:val="00734BBD"/>
    <w:rsid w:val="0073538A"/>
    <w:rsid w:val="007529D1"/>
    <w:rsid w:val="0075418E"/>
    <w:rsid w:val="00775691"/>
    <w:rsid w:val="007837D2"/>
    <w:rsid w:val="00784E8F"/>
    <w:rsid w:val="00792130"/>
    <w:rsid w:val="0079334E"/>
    <w:rsid w:val="007A19F1"/>
    <w:rsid w:val="007B084F"/>
    <w:rsid w:val="007D6F39"/>
    <w:rsid w:val="007D6F49"/>
    <w:rsid w:val="007E0B71"/>
    <w:rsid w:val="007F2099"/>
    <w:rsid w:val="00804FB5"/>
    <w:rsid w:val="00810F5B"/>
    <w:rsid w:val="00812A1F"/>
    <w:rsid w:val="008133C7"/>
    <w:rsid w:val="00817583"/>
    <w:rsid w:val="00830014"/>
    <w:rsid w:val="00834711"/>
    <w:rsid w:val="00835053"/>
    <w:rsid w:val="008352D4"/>
    <w:rsid w:val="0084099E"/>
    <w:rsid w:val="00842D57"/>
    <w:rsid w:val="0084568D"/>
    <w:rsid w:val="00854BEA"/>
    <w:rsid w:val="00860AF5"/>
    <w:rsid w:val="00866B89"/>
    <w:rsid w:val="00867508"/>
    <w:rsid w:val="00884759"/>
    <w:rsid w:val="00891A46"/>
    <w:rsid w:val="00896A1C"/>
    <w:rsid w:val="008A5D8C"/>
    <w:rsid w:val="008B4A87"/>
    <w:rsid w:val="008B5167"/>
    <w:rsid w:val="008B769F"/>
    <w:rsid w:val="008C0D2C"/>
    <w:rsid w:val="008C6B54"/>
    <w:rsid w:val="008F0C84"/>
    <w:rsid w:val="0090377F"/>
    <w:rsid w:val="00911F72"/>
    <w:rsid w:val="00915303"/>
    <w:rsid w:val="00922916"/>
    <w:rsid w:val="00926781"/>
    <w:rsid w:val="009352BB"/>
    <w:rsid w:val="00942097"/>
    <w:rsid w:val="0097027E"/>
    <w:rsid w:val="0097728F"/>
    <w:rsid w:val="009773A3"/>
    <w:rsid w:val="00984C94"/>
    <w:rsid w:val="00994567"/>
    <w:rsid w:val="0099700D"/>
    <w:rsid w:val="009B08D6"/>
    <w:rsid w:val="009B178E"/>
    <w:rsid w:val="009B47FA"/>
    <w:rsid w:val="009B6769"/>
    <w:rsid w:val="009D26DE"/>
    <w:rsid w:val="009D5108"/>
    <w:rsid w:val="009F020F"/>
    <w:rsid w:val="00A00650"/>
    <w:rsid w:val="00A00838"/>
    <w:rsid w:val="00A05505"/>
    <w:rsid w:val="00A21552"/>
    <w:rsid w:val="00A22FCD"/>
    <w:rsid w:val="00A27721"/>
    <w:rsid w:val="00A30AAA"/>
    <w:rsid w:val="00A35B87"/>
    <w:rsid w:val="00A44227"/>
    <w:rsid w:val="00A509FE"/>
    <w:rsid w:val="00A520C8"/>
    <w:rsid w:val="00A53955"/>
    <w:rsid w:val="00A57E1A"/>
    <w:rsid w:val="00A60729"/>
    <w:rsid w:val="00A64362"/>
    <w:rsid w:val="00A667B9"/>
    <w:rsid w:val="00A667D9"/>
    <w:rsid w:val="00A72DC1"/>
    <w:rsid w:val="00A83613"/>
    <w:rsid w:val="00A83FF3"/>
    <w:rsid w:val="00A95FA1"/>
    <w:rsid w:val="00AA0401"/>
    <w:rsid w:val="00AB00EF"/>
    <w:rsid w:val="00AB18D5"/>
    <w:rsid w:val="00AB5130"/>
    <w:rsid w:val="00AB62A1"/>
    <w:rsid w:val="00AC073C"/>
    <w:rsid w:val="00AD2755"/>
    <w:rsid w:val="00AE1573"/>
    <w:rsid w:val="00B01FBA"/>
    <w:rsid w:val="00B030C4"/>
    <w:rsid w:val="00B06E44"/>
    <w:rsid w:val="00B0777D"/>
    <w:rsid w:val="00B140E4"/>
    <w:rsid w:val="00B153BD"/>
    <w:rsid w:val="00B1626E"/>
    <w:rsid w:val="00B17CFB"/>
    <w:rsid w:val="00B30103"/>
    <w:rsid w:val="00B3074B"/>
    <w:rsid w:val="00B3128E"/>
    <w:rsid w:val="00B32406"/>
    <w:rsid w:val="00B40BD7"/>
    <w:rsid w:val="00B53853"/>
    <w:rsid w:val="00B62CB0"/>
    <w:rsid w:val="00B62CC8"/>
    <w:rsid w:val="00B64B40"/>
    <w:rsid w:val="00B65936"/>
    <w:rsid w:val="00B722A5"/>
    <w:rsid w:val="00B85A08"/>
    <w:rsid w:val="00B868E8"/>
    <w:rsid w:val="00B87C26"/>
    <w:rsid w:val="00B919F4"/>
    <w:rsid w:val="00B91A48"/>
    <w:rsid w:val="00B92695"/>
    <w:rsid w:val="00B947B3"/>
    <w:rsid w:val="00BC7600"/>
    <w:rsid w:val="00BD6C5C"/>
    <w:rsid w:val="00BE5397"/>
    <w:rsid w:val="00BF3AAA"/>
    <w:rsid w:val="00C01024"/>
    <w:rsid w:val="00C13A7F"/>
    <w:rsid w:val="00C31B03"/>
    <w:rsid w:val="00C3493F"/>
    <w:rsid w:val="00C43952"/>
    <w:rsid w:val="00C54DFF"/>
    <w:rsid w:val="00C570D9"/>
    <w:rsid w:val="00C75B00"/>
    <w:rsid w:val="00C850A9"/>
    <w:rsid w:val="00C8705E"/>
    <w:rsid w:val="00C95A42"/>
    <w:rsid w:val="00CA2F55"/>
    <w:rsid w:val="00CB2DDF"/>
    <w:rsid w:val="00CD61EC"/>
    <w:rsid w:val="00D22F3A"/>
    <w:rsid w:val="00D23659"/>
    <w:rsid w:val="00D24D06"/>
    <w:rsid w:val="00D3278E"/>
    <w:rsid w:val="00D3280E"/>
    <w:rsid w:val="00D413F9"/>
    <w:rsid w:val="00D41DD1"/>
    <w:rsid w:val="00D43A21"/>
    <w:rsid w:val="00D57F0C"/>
    <w:rsid w:val="00D61371"/>
    <w:rsid w:val="00D619DA"/>
    <w:rsid w:val="00D62A0F"/>
    <w:rsid w:val="00D7259A"/>
    <w:rsid w:val="00D725C1"/>
    <w:rsid w:val="00D77A6F"/>
    <w:rsid w:val="00DA0B16"/>
    <w:rsid w:val="00DA0D57"/>
    <w:rsid w:val="00DB07DA"/>
    <w:rsid w:val="00DB6C63"/>
    <w:rsid w:val="00DD02D7"/>
    <w:rsid w:val="00DE1404"/>
    <w:rsid w:val="00DE5E93"/>
    <w:rsid w:val="00DE636C"/>
    <w:rsid w:val="00DE740B"/>
    <w:rsid w:val="00DF1B90"/>
    <w:rsid w:val="00DF3464"/>
    <w:rsid w:val="00E07FAE"/>
    <w:rsid w:val="00E13E0F"/>
    <w:rsid w:val="00E26C4D"/>
    <w:rsid w:val="00E2738D"/>
    <w:rsid w:val="00E33553"/>
    <w:rsid w:val="00E41CEA"/>
    <w:rsid w:val="00E54D85"/>
    <w:rsid w:val="00E60360"/>
    <w:rsid w:val="00E65D1F"/>
    <w:rsid w:val="00E71D87"/>
    <w:rsid w:val="00E74AC2"/>
    <w:rsid w:val="00E751A9"/>
    <w:rsid w:val="00E863EB"/>
    <w:rsid w:val="00E91587"/>
    <w:rsid w:val="00E91B4B"/>
    <w:rsid w:val="00E9363C"/>
    <w:rsid w:val="00E96290"/>
    <w:rsid w:val="00EA0426"/>
    <w:rsid w:val="00EB0A95"/>
    <w:rsid w:val="00EB762C"/>
    <w:rsid w:val="00EB7859"/>
    <w:rsid w:val="00EE1039"/>
    <w:rsid w:val="00EE2575"/>
    <w:rsid w:val="00F039B6"/>
    <w:rsid w:val="00F11D2C"/>
    <w:rsid w:val="00F157D7"/>
    <w:rsid w:val="00F200A4"/>
    <w:rsid w:val="00F219EC"/>
    <w:rsid w:val="00F31545"/>
    <w:rsid w:val="00F35817"/>
    <w:rsid w:val="00F40250"/>
    <w:rsid w:val="00F40832"/>
    <w:rsid w:val="00F412BE"/>
    <w:rsid w:val="00F42C6F"/>
    <w:rsid w:val="00F5198F"/>
    <w:rsid w:val="00F65DE6"/>
    <w:rsid w:val="00F76653"/>
    <w:rsid w:val="00F805A2"/>
    <w:rsid w:val="00F90B58"/>
    <w:rsid w:val="00F91E3F"/>
    <w:rsid w:val="00F92D9B"/>
    <w:rsid w:val="00F9469C"/>
    <w:rsid w:val="00FA175C"/>
    <w:rsid w:val="00FA232E"/>
    <w:rsid w:val="00FA3EF3"/>
    <w:rsid w:val="00FA480A"/>
    <w:rsid w:val="00FC46F2"/>
    <w:rsid w:val="00FC525E"/>
    <w:rsid w:val="00FC6201"/>
    <w:rsid w:val="00FD265A"/>
    <w:rsid w:val="00FD6DCB"/>
    <w:rsid w:val="00FE116D"/>
    <w:rsid w:val="00FE1C21"/>
    <w:rsid w:val="00FE3C45"/>
    <w:rsid w:val="00FF2472"/>
    <w:rsid w:val="00FF5442"/>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5198F"/>
    <w:pPr>
      <w:ind w:left="720"/>
      <w:contextualSpacing/>
    </w:pPr>
  </w:style>
  <w:style w:type="paragraph" w:styleId="Nagwek">
    <w:name w:val="header"/>
    <w:basedOn w:val="Normalny"/>
    <w:link w:val="NagwekZnak"/>
    <w:uiPriority w:val="99"/>
    <w:unhideWhenUsed/>
    <w:rsid w:val="001D0B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0B29"/>
  </w:style>
  <w:style w:type="paragraph" w:styleId="Stopka">
    <w:name w:val="footer"/>
    <w:basedOn w:val="Normalny"/>
    <w:link w:val="StopkaZnak"/>
    <w:uiPriority w:val="99"/>
    <w:unhideWhenUsed/>
    <w:rsid w:val="001D0B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D0B29"/>
  </w:style>
  <w:style w:type="character" w:styleId="Odwoaniedokomentarza">
    <w:name w:val="annotation reference"/>
    <w:basedOn w:val="Domylnaczcionkaakapitu"/>
    <w:uiPriority w:val="99"/>
    <w:semiHidden/>
    <w:unhideWhenUsed/>
    <w:rsid w:val="00B919F4"/>
    <w:rPr>
      <w:sz w:val="16"/>
      <w:szCs w:val="16"/>
    </w:rPr>
  </w:style>
  <w:style w:type="paragraph" w:styleId="Tekstkomentarza">
    <w:name w:val="annotation text"/>
    <w:basedOn w:val="Normalny"/>
    <w:link w:val="TekstkomentarzaZnak"/>
    <w:uiPriority w:val="99"/>
    <w:semiHidden/>
    <w:unhideWhenUsed/>
    <w:rsid w:val="00B919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919F4"/>
    <w:rPr>
      <w:sz w:val="20"/>
      <w:szCs w:val="20"/>
    </w:rPr>
  </w:style>
  <w:style w:type="paragraph" w:styleId="Tematkomentarza">
    <w:name w:val="annotation subject"/>
    <w:basedOn w:val="Tekstkomentarza"/>
    <w:next w:val="Tekstkomentarza"/>
    <w:link w:val="TematkomentarzaZnak"/>
    <w:uiPriority w:val="99"/>
    <w:semiHidden/>
    <w:unhideWhenUsed/>
    <w:rsid w:val="00B919F4"/>
    <w:rPr>
      <w:b/>
      <w:bCs/>
    </w:rPr>
  </w:style>
  <w:style w:type="character" w:customStyle="1" w:styleId="TematkomentarzaZnak">
    <w:name w:val="Temat komentarza Znak"/>
    <w:basedOn w:val="TekstkomentarzaZnak"/>
    <w:link w:val="Tematkomentarza"/>
    <w:uiPriority w:val="99"/>
    <w:semiHidden/>
    <w:rsid w:val="00B919F4"/>
    <w:rPr>
      <w:b/>
      <w:bCs/>
      <w:sz w:val="20"/>
      <w:szCs w:val="20"/>
    </w:rPr>
  </w:style>
  <w:style w:type="paragraph" w:styleId="Tekstdymka">
    <w:name w:val="Balloon Text"/>
    <w:basedOn w:val="Normalny"/>
    <w:link w:val="TekstdymkaZnak"/>
    <w:uiPriority w:val="99"/>
    <w:semiHidden/>
    <w:unhideWhenUsed/>
    <w:rsid w:val="00B919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19F4"/>
    <w:rPr>
      <w:rFonts w:ascii="Tahoma" w:hAnsi="Tahoma" w:cs="Tahoma"/>
      <w:sz w:val="16"/>
      <w:szCs w:val="16"/>
    </w:rPr>
  </w:style>
  <w:style w:type="table" w:styleId="Tabela-Siatka">
    <w:name w:val="Table Grid"/>
    <w:basedOn w:val="Standardowy"/>
    <w:uiPriority w:val="59"/>
    <w:rsid w:val="00A008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unhideWhenUsed/>
    <w:rsid w:val="008C0D2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C0D2C"/>
    <w:rPr>
      <w:sz w:val="20"/>
      <w:szCs w:val="20"/>
    </w:rPr>
  </w:style>
  <w:style w:type="character" w:styleId="Odwoanieprzypisudolnego">
    <w:name w:val="footnote reference"/>
    <w:basedOn w:val="Domylnaczcionkaakapitu"/>
    <w:uiPriority w:val="99"/>
    <w:semiHidden/>
    <w:unhideWhenUsed/>
    <w:rsid w:val="008C0D2C"/>
    <w:rPr>
      <w:vertAlign w:val="superscript"/>
    </w:rPr>
  </w:style>
  <w:style w:type="paragraph" w:styleId="Poprawka">
    <w:name w:val="Revision"/>
    <w:hidden/>
    <w:uiPriority w:val="99"/>
    <w:semiHidden/>
    <w:rsid w:val="003634A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5198F"/>
    <w:pPr>
      <w:ind w:left="720"/>
      <w:contextualSpacing/>
    </w:pPr>
  </w:style>
  <w:style w:type="paragraph" w:styleId="Nagwek">
    <w:name w:val="header"/>
    <w:basedOn w:val="Normalny"/>
    <w:link w:val="NagwekZnak"/>
    <w:uiPriority w:val="99"/>
    <w:unhideWhenUsed/>
    <w:rsid w:val="001D0B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0B29"/>
  </w:style>
  <w:style w:type="paragraph" w:styleId="Stopka">
    <w:name w:val="footer"/>
    <w:basedOn w:val="Normalny"/>
    <w:link w:val="StopkaZnak"/>
    <w:uiPriority w:val="99"/>
    <w:unhideWhenUsed/>
    <w:rsid w:val="001D0B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D0B29"/>
  </w:style>
  <w:style w:type="character" w:styleId="Odwoaniedokomentarza">
    <w:name w:val="annotation reference"/>
    <w:basedOn w:val="Domylnaczcionkaakapitu"/>
    <w:uiPriority w:val="99"/>
    <w:semiHidden/>
    <w:unhideWhenUsed/>
    <w:rsid w:val="00B919F4"/>
    <w:rPr>
      <w:sz w:val="16"/>
      <w:szCs w:val="16"/>
    </w:rPr>
  </w:style>
  <w:style w:type="paragraph" w:styleId="Tekstkomentarza">
    <w:name w:val="annotation text"/>
    <w:basedOn w:val="Normalny"/>
    <w:link w:val="TekstkomentarzaZnak"/>
    <w:uiPriority w:val="99"/>
    <w:semiHidden/>
    <w:unhideWhenUsed/>
    <w:rsid w:val="00B919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919F4"/>
    <w:rPr>
      <w:sz w:val="20"/>
      <w:szCs w:val="20"/>
    </w:rPr>
  </w:style>
  <w:style w:type="paragraph" w:styleId="Tematkomentarza">
    <w:name w:val="annotation subject"/>
    <w:basedOn w:val="Tekstkomentarza"/>
    <w:next w:val="Tekstkomentarza"/>
    <w:link w:val="TematkomentarzaZnak"/>
    <w:uiPriority w:val="99"/>
    <w:semiHidden/>
    <w:unhideWhenUsed/>
    <w:rsid w:val="00B919F4"/>
    <w:rPr>
      <w:b/>
      <w:bCs/>
    </w:rPr>
  </w:style>
  <w:style w:type="character" w:customStyle="1" w:styleId="TematkomentarzaZnak">
    <w:name w:val="Temat komentarza Znak"/>
    <w:basedOn w:val="TekstkomentarzaZnak"/>
    <w:link w:val="Tematkomentarza"/>
    <w:uiPriority w:val="99"/>
    <w:semiHidden/>
    <w:rsid w:val="00B919F4"/>
    <w:rPr>
      <w:b/>
      <w:bCs/>
      <w:sz w:val="20"/>
      <w:szCs w:val="20"/>
    </w:rPr>
  </w:style>
  <w:style w:type="paragraph" w:styleId="Tekstdymka">
    <w:name w:val="Balloon Text"/>
    <w:basedOn w:val="Normalny"/>
    <w:link w:val="TekstdymkaZnak"/>
    <w:uiPriority w:val="99"/>
    <w:semiHidden/>
    <w:unhideWhenUsed/>
    <w:rsid w:val="00B919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19F4"/>
    <w:rPr>
      <w:rFonts w:ascii="Tahoma" w:hAnsi="Tahoma" w:cs="Tahoma"/>
      <w:sz w:val="16"/>
      <w:szCs w:val="16"/>
    </w:rPr>
  </w:style>
  <w:style w:type="table" w:styleId="Tabela-Siatka">
    <w:name w:val="Table Grid"/>
    <w:basedOn w:val="Standardowy"/>
    <w:uiPriority w:val="59"/>
    <w:rsid w:val="00A008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unhideWhenUsed/>
    <w:rsid w:val="008C0D2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C0D2C"/>
    <w:rPr>
      <w:sz w:val="20"/>
      <w:szCs w:val="20"/>
    </w:rPr>
  </w:style>
  <w:style w:type="character" w:styleId="Odwoanieprzypisudolnego">
    <w:name w:val="footnote reference"/>
    <w:basedOn w:val="Domylnaczcionkaakapitu"/>
    <w:uiPriority w:val="99"/>
    <w:semiHidden/>
    <w:unhideWhenUsed/>
    <w:rsid w:val="008C0D2C"/>
    <w:rPr>
      <w:vertAlign w:val="superscript"/>
    </w:rPr>
  </w:style>
  <w:style w:type="paragraph" w:styleId="Poprawka">
    <w:name w:val="Revision"/>
    <w:hidden/>
    <w:uiPriority w:val="99"/>
    <w:semiHidden/>
    <w:rsid w:val="003634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13264">
      <w:bodyDiv w:val="1"/>
      <w:marLeft w:val="0"/>
      <w:marRight w:val="0"/>
      <w:marTop w:val="0"/>
      <w:marBottom w:val="0"/>
      <w:divBdr>
        <w:top w:val="none" w:sz="0" w:space="0" w:color="auto"/>
        <w:left w:val="none" w:sz="0" w:space="0" w:color="auto"/>
        <w:bottom w:val="none" w:sz="0" w:space="0" w:color="auto"/>
        <w:right w:val="none" w:sz="0" w:space="0" w:color="auto"/>
      </w:divBdr>
    </w:div>
    <w:div w:id="752700084">
      <w:bodyDiv w:val="1"/>
      <w:marLeft w:val="0"/>
      <w:marRight w:val="0"/>
      <w:marTop w:val="0"/>
      <w:marBottom w:val="0"/>
      <w:divBdr>
        <w:top w:val="none" w:sz="0" w:space="0" w:color="auto"/>
        <w:left w:val="none" w:sz="0" w:space="0" w:color="auto"/>
        <w:bottom w:val="none" w:sz="0" w:space="0" w:color="auto"/>
        <w:right w:val="none" w:sz="0" w:space="0" w:color="auto"/>
      </w:divBdr>
      <w:divsChild>
        <w:div w:id="1425607341">
          <w:marLeft w:val="547"/>
          <w:marRight w:val="0"/>
          <w:marTop w:val="0"/>
          <w:marBottom w:val="0"/>
          <w:divBdr>
            <w:top w:val="none" w:sz="0" w:space="0" w:color="auto"/>
            <w:left w:val="none" w:sz="0" w:space="0" w:color="auto"/>
            <w:bottom w:val="none" w:sz="0" w:space="0" w:color="auto"/>
            <w:right w:val="none" w:sz="0" w:space="0" w:color="auto"/>
          </w:divBdr>
        </w:div>
      </w:divsChild>
    </w:div>
    <w:div w:id="119230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86F50-9C38-49C9-A1DB-74F07869B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Bartosiewicz-Staniak</dc:creator>
  <cp:lastModifiedBy>Michalski Jakub  (DSD)</cp:lastModifiedBy>
  <cp:revision>2</cp:revision>
  <cp:lastPrinted>2014-05-12T10:54:00Z</cp:lastPrinted>
  <dcterms:created xsi:type="dcterms:W3CDTF">2014-05-27T07:04:00Z</dcterms:created>
  <dcterms:modified xsi:type="dcterms:W3CDTF">2014-05-27T07:04:00Z</dcterms:modified>
</cp:coreProperties>
</file>