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90B" w:rsidRPr="009B390B" w:rsidRDefault="009B390B" w:rsidP="009B390B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pl-PL"/>
        </w:rPr>
      </w:pPr>
      <w:r w:rsidRPr="009B390B">
        <w:rPr>
          <w:rFonts w:ascii="Times New Roman" w:eastAsia="Calibri" w:hAnsi="Times New Roman" w:cs="Times New Roman"/>
          <w:b/>
          <w:sz w:val="24"/>
          <w:szCs w:val="24"/>
          <w:lang w:val="pl-PL"/>
        </w:rPr>
        <w:t>Uzasadnienie</w:t>
      </w:r>
      <w:bookmarkStart w:id="0" w:name="_GoBack"/>
      <w:bookmarkEnd w:id="0"/>
    </w:p>
    <w:p w:rsidR="009B390B" w:rsidRPr="009B390B" w:rsidRDefault="009B390B" w:rsidP="009B390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B390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Niniejszy projekt uchyla obecnie obowiązujący Komunikat Ministra Sprawiedliwości </w:t>
      </w:r>
      <w:r w:rsidRPr="009B390B">
        <w:rPr>
          <w:rFonts w:ascii="Times New Roman" w:eastAsia="Calibri" w:hAnsi="Times New Roman" w:cs="Times New Roman"/>
          <w:sz w:val="24"/>
          <w:szCs w:val="24"/>
          <w:lang w:val="pl-PL"/>
        </w:rPr>
        <w:br/>
        <w:t>nr 1/14/DSD z dnia 21 maja 2014 r. w sprawie szczegółowych wytycznych w zakresie kontroli zarządczej dla działu administracji rządowej – sprawiedliwość (Dz. Urz. Min. Spraw. z 2014 r., poz. 107). Wprowadzone w projekcie komunikatu zmiany dostosowują nazwę departamentu pełniącego rolę koordynatora kontroli zarządczej w dziale do obecnie obowiązującej, wprowadzonej Regulaminem Organizacyjnym Ministerstwa Sprawiedliwości stanowiącym załącznik do zarządzenia Nr 59/15/BOF z dn. 30 stycznia 2015 r.</w:t>
      </w:r>
      <w:r w:rsidRPr="009B390B">
        <w:rPr>
          <w:rFonts w:ascii="Calibri" w:eastAsia="Calibri" w:hAnsi="Calibri" w:cs="Times New Roman"/>
          <w:lang w:val="pl-PL"/>
        </w:rPr>
        <w:t xml:space="preserve"> </w:t>
      </w:r>
      <w:r w:rsidRPr="009B390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w sprawie ustalenia regulaminu organizacyjnego Ministerstwa Sprawiedliwości (Dz. Urz. Min. Spraw. </w:t>
      </w:r>
      <w:r w:rsidRPr="009B390B">
        <w:rPr>
          <w:rFonts w:ascii="Times New Roman" w:eastAsia="Calibri" w:hAnsi="Times New Roman" w:cs="Times New Roman"/>
          <w:sz w:val="24"/>
          <w:szCs w:val="24"/>
          <w:lang w:val="pl-PL"/>
        </w:rPr>
        <w:br/>
        <w:t xml:space="preserve">z 2015 r. poz. 54). Zmiana polega na zastąpieniu nazwy z Departamentu Strategii </w:t>
      </w:r>
      <w:r w:rsidRPr="009B390B">
        <w:rPr>
          <w:rFonts w:ascii="Times New Roman" w:eastAsia="Calibri" w:hAnsi="Times New Roman" w:cs="Times New Roman"/>
          <w:sz w:val="24"/>
          <w:szCs w:val="24"/>
          <w:lang w:val="pl-PL"/>
        </w:rPr>
        <w:br/>
        <w:t xml:space="preserve">i Deregulacji na Departament Strategii i Funduszy Europejskich. </w:t>
      </w:r>
    </w:p>
    <w:p w:rsidR="009B390B" w:rsidRPr="009B390B" w:rsidRDefault="009B390B" w:rsidP="009B390B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B390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Wprowadzono również zmianę o charakterze gwarancyjnym, tj. podzielenie </w:t>
      </w:r>
      <w:r w:rsidRPr="009B390B">
        <w:rPr>
          <w:rFonts w:ascii="Times New Roman" w:eastAsia="Calibri" w:hAnsi="Times New Roman" w:cs="Times New Roman"/>
          <w:sz w:val="24"/>
          <w:szCs w:val="24"/>
          <w:lang w:val="pl-PL"/>
        </w:rPr>
        <w:br/>
        <w:t>§ 4 na ustępy, przy zachowaniu dotychczasowego brzmienia w ustępie pierwszym oraz dodanie ust. 2, w którym wskazano, że kontrola w ramach nadzoru administracyjnego Ministra Sprawiedliwości nad działalnością sądów, o którym mowa w art. 9 ustawy z dnia 27 lipca 2001 r. – Prawo o ustroju sądów powszechnych (</w:t>
      </w:r>
      <w:proofErr w:type="spellStart"/>
      <w:r w:rsidRPr="009B390B">
        <w:rPr>
          <w:rFonts w:ascii="Times New Roman" w:eastAsia="Calibri" w:hAnsi="Times New Roman" w:cs="Times New Roman"/>
          <w:sz w:val="24"/>
          <w:szCs w:val="24"/>
          <w:lang w:val="pl-PL"/>
        </w:rPr>
        <w:t>Dz.U</w:t>
      </w:r>
      <w:proofErr w:type="spellEnd"/>
      <w:r w:rsidRPr="009B390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. z 2015 r. poz. 133, z </w:t>
      </w:r>
      <w:proofErr w:type="spellStart"/>
      <w:r w:rsidRPr="009B390B">
        <w:rPr>
          <w:rFonts w:ascii="Times New Roman" w:eastAsia="Calibri" w:hAnsi="Times New Roman" w:cs="Times New Roman"/>
          <w:sz w:val="24"/>
          <w:szCs w:val="24"/>
          <w:lang w:val="pl-PL"/>
        </w:rPr>
        <w:t>późn</w:t>
      </w:r>
      <w:proofErr w:type="spellEnd"/>
      <w:r w:rsidRPr="009B390B">
        <w:rPr>
          <w:rFonts w:ascii="Times New Roman" w:eastAsia="Calibri" w:hAnsi="Times New Roman" w:cs="Times New Roman"/>
          <w:sz w:val="24"/>
          <w:szCs w:val="24"/>
          <w:lang w:val="pl-PL"/>
        </w:rPr>
        <w:t>. zm.</w:t>
      </w:r>
      <w:r w:rsidRPr="009B390B">
        <w:rPr>
          <w:rFonts w:ascii="Times New Roman" w:eastAsia="Calibri" w:hAnsi="Times New Roman" w:cs="Times New Roman"/>
          <w:sz w:val="24"/>
          <w:szCs w:val="24"/>
          <w:vertAlign w:val="superscript"/>
          <w:lang w:val="pl-PL"/>
        </w:rPr>
        <w:t xml:space="preserve"> </w:t>
      </w:r>
      <w:r w:rsidRPr="009B390B">
        <w:rPr>
          <w:rFonts w:ascii="Times New Roman" w:eastAsia="Calibri" w:hAnsi="Times New Roman" w:cs="Times New Roman"/>
          <w:sz w:val="24"/>
          <w:szCs w:val="24"/>
          <w:vertAlign w:val="superscript"/>
          <w:lang w:val="pl-PL"/>
        </w:rPr>
        <w:footnoteReference w:id="1"/>
      </w:r>
      <w:r w:rsidRPr="009B390B">
        <w:rPr>
          <w:rFonts w:ascii="Times New Roman" w:eastAsia="Calibri" w:hAnsi="Times New Roman" w:cs="Times New Roman"/>
          <w:sz w:val="24"/>
          <w:szCs w:val="24"/>
          <w:vertAlign w:val="superscript"/>
          <w:lang w:val="pl-PL"/>
        </w:rPr>
        <w:t>)</w:t>
      </w:r>
      <w:r w:rsidRPr="009B390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), przeprowadzana jest na podstawie przepisów odrębnych od przedmiotowego komunikatu. Chodzi o kontrolę działalności administracyjnej sądów, tj. kontrolę instytucjonalną przeprowadzaną przez uprawnionych kontrolerów Ministerstwa Sprawiedliwości.  </w:t>
      </w:r>
    </w:p>
    <w:p w:rsidR="009B390B" w:rsidRPr="009B390B" w:rsidRDefault="009B390B" w:rsidP="009B390B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B390B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Wydanie nowego komunikatu, zamiast nowelizacji obowiązującego obecnie Komunikatu Ministra Sprawiedliwości nr 1/14/DSD z dnia 21 maja 2014 r. w sprawie szczegółowych wytycznych w zakresie kontroli zarządczej dla działu administracji rządowej – sprawiedliwość, ma na celu zapewnienie czytelności i jednolitości komunikatu. </w:t>
      </w:r>
    </w:p>
    <w:p w:rsidR="00396A66" w:rsidRPr="009B390B" w:rsidRDefault="004F0393">
      <w:pPr>
        <w:rPr>
          <w:lang w:val="pl-PL"/>
        </w:rPr>
      </w:pPr>
    </w:p>
    <w:sectPr w:rsidR="00396A66" w:rsidRPr="009B3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393" w:rsidRDefault="004F0393" w:rsidP="009B390B">
      <w:pPr>
        <w:spacing w:after="0" w:line="240" w:lineRule="auto"/>
      </w:pPr>
      <w:r>
        <w:separator/>
      </w:r>
    </w:p>
  </w:endnote>
  <w:endnote w:type="continuationSeparator" w:id="0">
    <w:p w:rsidR="004F0393" w:rsidRDefault="004F0393" w:rsidP="009B3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393" w:rsidRDefault="004F0393" w:rsidP="009B390B">
      <w:pPr>
        <w:spacing w:after="0" w:line="240" w:lineRule="auto"/>
      </w:pPr>
      <w:r>
        <w:separator/>
      </w:r>
    </w:p>
  </w:footnote>
  <w:footnote w:type="continuationSeparator" w:id="0">
    <w:p w:rsidR="004F0393" w:rsidRDefault="004F0393" w:rsidP="009B390B">
      <w:pPr>
        <w:spacing w:after="0" w:line="240" w:lineRule="auto"/>
      </w:pPr>
      <w:r>
        <w:continuationSeparator/>
      </w:r>
    </w:p>
  </w:footnote>
  <w:footnote w:id="1">
    <w:p w:rsidR="009B390B" w:rsidRDefault="009B390B" w:rsidP="009B390B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Dz. U z 2015 r. poz. 509, 694, 1066 i 1224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90B"/>
    <w:rsid w:val="000806A1"/>
    <w:rsid w:val="004F0393"/>
    <w:rsid w:val="005938B2"/>
    <w:rsid w:val="009B390B"/>
    <w:rsid w:val="00BB0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390B"/>
    <w:pPr>
      <w:spacing w:after="0" w:line="240" w:lineRule="auto"/>
    </w:pPr>
    <w:rPr>
      <w:rFonts w:ascii="Calibri" w:eastAsia="Calibri" w:hAnsi="Calibri" w:cs="Times New Roman"/>
      <w:sz w:val="20"/>
      <w:szCs w:val="20"/>
      <w:lang w:val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390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390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390B"/>
    <w:pPr>
      <w:spacing w:after="0" w:line="240" w:lineRule="auto"/>
    </w:pPr>
    <w:rPr>
      <w:rFonts w:ascii="Calibri" w:eastAsia="Calibri" w:hAnsi="Calibri" w:cs="Times New Roman"/>
      <w:sz w:val="20"/>
      <w:szCs w:val="20"/>
      <w:lang w:val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390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390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Kowalczuk Kamil  (DSD)</dc:creator>
  <cp:lastModifiedBy>Kowalczuk Kamil  (DSD)</cp:lastModifiedBy>
  <cp:revision>1</cp:revision>
  <dcterms:created xsi:type="dcterms:W3CDTF">2015-12-15T11:19:00Z</dcterms:created>
  <dcterms:modified xsi:type="dcterms:W3CDTF">2015-12-15T11:20:00Z</dcterms:modified>
</cp:coreProperties>
</file>