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D8D" w:rsidRPr="00F24D7A" w:rsidRDefault="00AA7D8D" w:rsidP="00E7396B">
      <w:pPr>
        <w:spacing w:after="0" w:line="240" w:lineRule="auto"/>
        <w:jc w:val="both"/>
        <w:rPr>
          <w:b/>
          <w:sz w:val="28"/>
          <w:szCs w:val="28"/>
        </w:rPr>
      </w:pPr>
      <w:bookmarkStart w:id="0" w:name="_GoBack"/>
      <w:bookmarkEnd w:id="0"/>
      <w:r w:rsidRPr="00F24D7A">
        <w:rPr>
          <w:b/>
          <w:sz w:val="28"/>
          <w:szCs w:val="28"/>
        </w:rPr>
        <w:t>Rekomendacja</w:t>
      </w:r>
      <w:r w:rsidR="001E0FDA" w:rsidRPr="00F24D7A">
        <w:rPr>
          <w:b/>
          <w:sz w:val="28"/>
          <w:szCs w:val="28"/>
        </w:rPr>
        <w:t xml:space="preserve"> CM/</w:t>
      </w:r>
      <w:proofErr w:type="spellStart"/>
      <w:r w:rsidR="001E0FDA" w:rsidRPr="00F24D7A">
        <w:rPr>
          <w:b/>
          <w:sz w:val="28"/>
          <w:szCs w:val="28"/>
        </w:rPr>
        <w:t>Rec</w:t>
      </w:r>
      <w:proofErr w:type="spellEnd"/>
      <w:r w:rsidR="001E0FDA" w:rsidRPr="00F24D7A">
        <w:rPr>
          <w:b/>
          <w:sz w:val="28"/>
          <w:szCs w:val="28"/>
        </w:rPr>
        <w:t xml:space="preserve">(2016)3 </w:t>
      </w:r>
    </w:p>
    <w:p w:rsidR="00AA7D8D" w:rsidRPr="00F24D7A" w:rsidRDefault="001E0FDA" w:rsidP="00E7396B">
      <w:pPr>
        <w:spacing w:after="0" w:line="240" w:lineRule="auto"/>
        <w:jc w:val="both"/>
        <w:rPr>
          <w:b/>
          <w:sz w:val="28"/>
          <w:szCs w:val="28"/>
        </w:rPr>
      </w:pPr>
      <w:r w:rsidRPr="00F24D7A">
        <w:rPr>
          <w:b/>
          <w:sz w:val="28"/>
          <w:szCs w:val="28"/>
        </w:rPr>
        <w:t xml:space="preserve">Komitetu Ministrów </w:t>
      </w:r>
      <w:r w:rsidR="00EC5662">
        <w:rPr>
          <w:b/>
          <w:sz w:val="28"/>
          <w:szCs w:val="28"/>
        </w:rPr>
        <w:t xml:space="preserve">Rady Europy </w:t>
      </w:r>
      <w:r w:rsidRPr="00F24D7A">
        <w:rPr>
          <w:b/>
          <w:sz w:val="28"/>
          <w:szCs w:val="28"/>
        </w:rPr>
        <w:t xml:space="preserve">do państw członkowskich </w:t>
      </w:r>
    </w:p>
    <w:p w:rsidR="00581F5B" w:rsidRPr="00F24D7A" w:rsidRDefault="00AA7D8D" w:rsidP="00E7396B">
      <w:pPr>
        <w:spacing w:after="0" w:line="240" w:lineRule="auto"/>
        <w:jc w:val="both"/>
        <w:rPr>
          <w:b/>
          <w:sz w:val="28"/>
          <w:szCs w:val="28"/>
        </w:rPr>
      </w:pPr>
      <w:r w:rsidRPr="00F24D7A">
        <w:rPr>
          <w:b/>
          <w:sz w:val="28"/>
          <w:szCs w:val="28"/>
        </w:rPr>
        <w:t>dotycząca</w:t>
      </w:r>
      <w:r w:rsidR="001E0FDA" w:rsidRPr="00F24D7A">
        <w:rPr>
          <w:b/>
          <w:sz w:val="28"/>
          <w:szCs w:val="28"/>
        </w:rPr>
        <w:t xml:space="preserve"> praw człowieka i biznesu</w:t>
      </w:r>
    </w:p>
    <w:p w:rsidR="00AA7D8D" w:rsidRPr="002F7D5A" w:rsidRDefault="001E0FDA" w:rsidP="00E7396B">
      <w:pPr>
        <w:spacing w:before="120" w:after="120" w:line="240" w:lineRule="auto"/>
        <w:jc w:val="both"/>
        <w:rPr>
          <w:i/>
          <w:sz w:val="24"/>
          <w:szCs w:val="24"/>
        </w:rPr>
      </w:pPr>
      <w:r w:rsidRPr="002F7D5A">
        <w:rPr>
          <w:sz w:val="24"/>
          <w:szCs w:val="24"/>
        </w:rPr>
        <w:t>(</w:t>
      </w:r>
      <w:r w:rsidR="00AA7D8D" w:rsidRPr="002F7D5A">
        <w:rPr>
          <w:i/>
          <w:sz w:val="24"/>
          <w:szCs w:val="24"/>
        </w:rPr>
        <w:t>przyjęta</w:t>
      </w:r>
      <w:r w:rsidR="00746D7D">
        <w:rPr>
          <w:i/>
          <w:sz w:val="24"/>
          <w:szCs w:val="24"/>
        </w:rPr>
        <w:t xml:space="preserve"> przez Komitet</w:t>
      </w:r>
      <w:r w:rsidRPr="002F7D5A">
        <w:rPr>
          <w:i/>
          <w:sz w:val="24"/>
          <w:szCs w:val="24"/>
        </w:rPr>
        <w:t xml:space="preserve"> Ministrów w dniu 2 marca 2016</w:t>
      </w:r>
      <w:r w:rsidR="00AA7D8D" w:rsidRPr="002F7D5A">
        <w:rPr>
          <w:i/>
          <w:sz w:val="24"/>
          <w:szCs w:val="24"/>
        </w:rPr>
        <w:t xml:space="preserve"> r.</w:t>
      </w:r>
    </w:p>
    <w:p w:rsidR="001E0FDA" w:rsidRPr="002F7D5A" w:rsidRDefault="001E0FDA" w:rsidP="00E7396B">
      <w:pPr>
        <w:spacing w:after="0" w:line="240" w:lineRule="auto"/>
        <w:jc w:val="both"/>
        <w:rPr>
          <w:sz w:val="24"/>
          <w:szCs w:val="24"/>
        </w:rPr>
      </w:pPr>
      <w:r w:rsidRPr="002F7D5A">
        <w:rPr>
          <w:i/>
          <w:sz w:val="24"/>
          <w:szCs w:val="24"/>
        </w:rPr>
        <w:t xml:space="preserve"> na 1249 </w:t>
      </w:r>
      <w:r w:rsidR="00A50BAB">
        <w:rPr>
          <w:i/>
          <w:sz w:val="24"/>
          <w:szCs w:val="24"/>
        </w:rPr>
        <w:t>posiedzeniu</w:t>
      </w:r>
      <w:r w:rsidR="00A50BAB" w:rsidRPr="002F7D5A">
        <w:rPr>
          <w:i/>
          <w:sz w:val="24"/>
          <w:szCs w:val="24"/>
        </w:rPr>
        <w:t xml:space="preserve"> </w:t>
      </w:r>
      <w:r w:rsidR="007C6F7A" w:rsidRPr="00BF5691">
        <w:rPr>
          <w:i/>
          <w:sz w:val="24"/>
          <w:szCs w:val="24"/>
        </w:rPr>
        <w:t>Komitetu Delegatów</w:t>
      </w:r>
      <w:r w:rsidR="007C6F7A" w:rsidRPr="004608FA">
        <w:rPr>
          <w:i/>
          <w:sz w:val="24"/>
          <w:szCs w:val="24"/>
        </w:rPr>
        <w:t xml:space="preserve"> </w:t>
      </w:r>
      <w:r w:rsidRPr="004608FA">
        <w:rPr>
          <w:i/>
          <w:sz w:val="24"/>
          <w:szCs w:val="24"/>
        </w:rPr>
        <w:t>Ministrów</w:t>
      </w:r>
      <w:r w:rsidRPr="004608FA">
        <w:rPr>
          <w:sz w:val="24"/>
          <w:szCs w:val="24"/>
        </w:rPr>
        <w:t>)</w:t>
      </w:r>
    </w:p>
    <w:p w:rsidR="001E0FDA" w:rsidRPr="002F7D5A" w:rsidRDefault="001E0FDA" w:rsidP="00E7396B">
      <w:pPr>
        <w:spacing w:before="120" w:after="120" w:line="240" w:lineRule="auto"/>
        <w:jc w:val="both"/>
        <w:rPr>
          <w:sz w:val="24"/>
          <w:szCs w:val="24"/>
        </w:rPr>
      </w:pPr>
    </w:p>
    <w:p w:rsidR="001E0FDA" w:rsidRPr="002F7D5A" w:rsidRDefault="001E0FDA" w:rsidP="00E7396B">
      <w:pPr>
        <w:spacing w:before="120" w:after="120" w:line="240" w:lineRule="auto"/>
        <w:jc w:val="both"/>
        <w:rPr>
          <w:sz w:val="24"/>
          <w:szCs w:val="24"/>
        </w:rPr>
      </w:pPr>
      <w:r w:rsidRPr="002F7D5A">
        <w:rPr>
          <w:sz w:val="24"/>
          <w:szCs w:val="24"/>
        </w:rPr>
        <w:t>Komitet Ministrów,</w:t>
      </w:r>
    </w:p>
    <w:p w:rsidR="001E0FDA" w:rsidRPr="002F7D5A" w:rsidRDefault="0056139A" w:rsidP="00E7396B">
      <w:pPr>
        <w:spacing w:before="120" w:after="120" w:line="240" w:lineRule="auto"/>
        <w:jc w:val="both"/>
        <w:rPr>
          <w:sz w:val="24"/>
          <w:szCs w:val="24"/>
        </w:rPr>
      </w:pPr>
      <w:r w:rsidRPr="002F7D5A">
        <w:rPr>
          <w:sz w:val="24"/>
          <w:szCs w:val="24"/>
        </w:rPr>
        <w:t xml:space="preserve">Mając na uwadze cel Rady Europy, którym jest osiągnięcie większej jedności wśród państw członkowskich, miedzy innymi </w:t>
      </w:r>
      <w:r w:rsidR="00A34373" w:rsidRPr="002F7D5A">
        <w:rPr>
          <w:sz w:val="24"/>
          <w:szCs w:val="24"/>
        </w:rPr>
        <w:t>po</w:t>
      </w:r>
      <w:r w:rsidR="00723C98" w:rsidRPr="002F7D5A">
        <w:rPr>
          <w:sz w:val="24"/>
          <w:szCs w:val="24"/>
        </w:rPr>
        <w:t>przez promocję wspólnych standardów i prowadzenie działań w zakresie praw człowieka.</w:t>
      </w:r>
    </w:p>
    <w:p w:rsidR="00723C98" w:rsidRPr="002F7D5A" w:rsidRDefault="00723C98" w:rsidP="00E7396B">
      <w:pPr>
        <w:spacing w:before="120" w:after="120" w:line="240" w:lineRule="auto"/>
        <w:jc w:val="both"/>
        <w:rPr>
          <w:sz w:val="24"/>
          <w:szCs w:val="24"/>
        </w:rPr>
      </w:pPr>
      <w:r w:rsidRPr="002F7D5A">
        <w:rPr>
          <w:sz w:val="24"/>
          <w:szCs w:val="24"/>
        </w:rPr>
        <w:t>Wierząc</w:t>
      </w:r>
      <w:r w:rsidR="000C2238" w:rsidRPr="002F7D5A">
        <w:rPr>
          <w:sz w:val="24"/>
          <w:szCs w:val="24"/>
        </w:rPr>
        <w:t xml:space="preserve"> w gospodarczy i społeczny rozwój jako sposób promocji celów Rady Europy;</w:t>
      </w:r>
    </w:p>
    <w:p w:rsidR="001E0FDA" w:rsidRPr="002F7D5A" w:rsidRDefault="000C2238" w:rsidP="00E7396B">
      <w:pPr>
        <w:spacing w:before="120" w:after="120" w:line="240" w:lineRule="auto"/>
        <w:jc w:val="both"/>
        <w:rPr>
          <w:sz w:val="24"/>
          <w:szCs w:val="24"/>
        </w:rPr>
      </w:pPr>
      <w:r w:rsidRPr="002F7D5A">
        <w:rPr>
          <w:sz w:val="24"/>
          <w:szCs w:val="24"/>
        </w:rPr>
        <w:t xml:space="preserve">Przypominając zobowiązania państw członkowskich do zapewnienia każdemu w </w:t>
      </w:r>
      <w:r w:rsidR="00E42AB0" w:rsidRPr="002F7D5A">
        <w:rPr>
          <w:sz w:val="24"/>
          <w:szCs w:val="24"/>
        </w:rPr>
        <w:t>obrębie ich</w:t>
      </w:r>
      <w:r w:rsidRPr="002F7D5A">
        <w:rPr>
          <w:sz w:val="24"/>
          <w:szCs w:val="24"/>
        </w:rPr>
        <w:t xml:space="preserve"> jurysdykcji</w:t>
      </w:r>
      <w:r w:rsidR="00692539" w:rsidRPr="002F7D5A">
        <w:rPr>
          <w:sz w:val="24"/>
          <w:szCs w:val="24"/>
        </w:rPr>
        <w:t xml:space="preserve"> praw i wolności gw</w:t>
      </w:r>
      <w:r w:rsidR="008D3228" w:rsidRPr="002F7D5A">
        <w:rPr>
          <w:sz w:val="24"/>
          <w:szCs w:val="24"/>
        </w:rPr>
        <w:t>arantowanych przez Konwencję o ochronie praw człowieka i podstawowych w</w:t>
      </w:r>
      <w:r w:rsidR="00692539" w:rsidRPr="002F7D5A">
        <w:rPr>
          <w:sz w:val="24"/>
          <w:szCs w:val="24"/>
        </w:rPr>
        <w:t>olności (ETS nr 5) i w protokołach</w:t>
      </w:r>
      <w:r w:rsidR="008D3228" w:rsidRPr="002F7D5A">
        <w:rPr>
          <w:sz w:val="24"/>
          <w:szCs w:val="24"/>
        </w:rPr>
        <w:t xml:space="preserve"> do niej</w:t>
      </w:r>
      <w:r w:rsidR="00692539" w:rsidRPr="002F7D5A">
        <w:rPr>
          <w:sz w:val="24"/>
          <w:szCs w:val="24"/>
        </w:rPr>
        <w:t xml:space="preserve">, w tym </w:t>
      </w:r>
      <w:r w:rsidR="00596A00" w:rsidRPr="002F7D5A">
        <w:rPr>
          <w:sz w:val="24"/>
          <w:szCs w:val="24"/>
        </w:rPr>
        <w:t xml:space="preserve">prawa do skutecznego środka </w:t>
      </w:r>
      <w:r w:rsidR="00227022">
        <w:rPr>
          <w:sz w:val="24"/>
          <w:szCs w:val="24"/>
        </w:rPr>
        <w:t>zaradczego</w:t>
      </w:r>
      <w:r w:rsidR="00227022" w:rsidRPr="002F7D5A">
        <w:rPr>
          <w:sz w:val="24"/>
          <w:szCs w:val="24"/>
        </w:rPr>
        <w:t xml:space="preserve"> </w:t>
      </w:r>
      <w:r w:rsidR="00596A00" w:rsidRPr="002F7D5A">
        <w:rPr>
          <w:sz w:val="24"/>
          <w:szCs w:val="24"/>
        </w:rPr>
        <w:t>do organu państwowego w sytuacji naruszenia praw i wolności</w:t>
      </w:r>
      <w:r w:rsidR="004E3E1E" w:rsidRPr="002F7D5A">
        <w:rPr>
          <w:sz w:val="24"/>
          <w:szCs w:val="24"/>
        </w:rPr>
        <w:t xml:space="preserve"> gwarantowanych w Konwencji</w:t>
      </w:r>
      <w:r w:rsidR="00596A00" w:rsidRPr="002F7D5A">
        <w:rPr>
          <w:sz w:val="24"/>
          <w:szCs w:val="24"/>
        </w:rPr>
        <w:t>,</w:t>
      </w:r>
      <w:r w:rsidR="004E3E1E" w:rsidRPr="002F7D5A">
        <w:rPr>
          <w:sz w:val="24"/>
          <w:szCs w:val="24"/>
        </w:rPr>
        <w:t xml:space="preserve"> oraz</w:t>
      </w:r>
      <w:r w:rsidR="00596A00" w:rsidRPr="002F7D5A">
        <w:rPr>
          <w:sz w:val="24"/>
          <w:szCs w:val="24"/>
        </w:rPr>
        <w:t xml:space="preserve"> w odpowiednich przypadkach ich zobowiązań wynikających z Europejskiej Karty Społecznej (ETS nr 35), Europejskiej Karty Społecznej (</w:t>
      </w:r>
      <w:r w:rsidR="00A34373" w:rsidRPr="002F7D5A">
        <w:rPr>
          <w:sz w:val="24"/>
          <w:szCs w:val="24"/>
        </w:rPr>
        <w:t>zrewidowanej</w:t>
      </w:r>
      <w:r w:rsidR="00596A00" w:rsidRPr="002F7D5A">
        <w:rPr>
          <w:sz w:val="24"/>
          <w:szCs w:val="24"/>
        </w:rPr>
        <w:t>) (ETS nr 163)</w:t>
      </w:r>
      <w:r w:rsidR="004E3E1E" w:rsidRPr="002F7D5A">
        <w:rPr>
          <w:sz w:val="24"/>
          <w:szCs w:val="24"/>
        </w:rPr>
        <w:t>,</w:t>
      </w:r>
      <w:r w:rsidR="00596A00" w:rsidRPr="002F7D5A">
        <w:rPr>
          <w:sz w:val="24"/>
          <w:szCs w:val="24"/>
        </w:rPr>
        <w:t xml:space="preserve"> i z innych europejskich i międzynarodowych instrumentów </w:t>
      </w:r>
      <w:r w:rsidR="000B6902">
        <w:rPr>
          <w:sz w:val="24"/>
          <w:szCs w:val="24"/>
        </w:rPr>
        <w:t>dotyczących</w:t>
      </w:r>
      <w:r w:rsidR="00596A00" w:rsidRPr="002F7D5A">
        <w:rPr>
          <w:sz w:val="24"/>
          <w:szCs w:val="24"/>
        </w:rPr>
        <w:t xml:space="preserve"> praw człowieka.</w:t>
      </w:r>
    </w:p>
    <w:p w:rsidR="00596A00" w:rsidRPr="002F7D5A" w:rsidRDefault="005A4A82" w:rsidP="00E7396B">
      <w:pPr>
        <w:spacing w:before="120" w:after="120" w:line="240" w:lineRule="auto"/>
        <w:jc w:val="both"/>
        <w:rPr>
          <w:sz w:val="24"/>
          <w:szCs w:val="24"/>
        </w:rPr>
      </w:pPr>
      <w:r w:rsidRPr="002F7D5A">
        <w:rPr>
          <w:sz w:val="24"/>
          <w:szCs w:val="24"/>
        </w:rPr>
        <w:t xml:space="preserve">Potwierdzając, że wszystkie prawa człowieka i podstawowe wolności są </w:t>
      </w:r>
      <w:r w:rsidR="00C51966">
        <w:rPr>
          <w:sz w:val="24"/>
          <w:szCs w:val="24"/>
        </w:rPr>
        <w:t>powszechne</w:t>
      </w:r>
      <w:r w:rsidRPr="002F7D5A">
        <w:rPr>
          <w:sz w:val="24"/>
          <w:szCs w:val="24"/>
        </w:rPr>
        <w:t>, niepodzielne, współzależne i wzajemnie powiązane;</w:t>
      </w:r>
    </w:p>
    <w:p w:rsidR="00983352" w:rsidRPr="002F7D5A" w:rsidRDefault="00983352" w:rsidP="00E7396B">
      <w:pPr>
        <w:spacing w:before="120" w:after="120" w:line="240" w:lineRule="auto"/>
        <w:jc w:val="both"/>
        <w:rPr>
          <w:sz w:val="24"/>
          <w:szCs w:val="24"/>
        </w:rPr>
      </w:pPr>
      <w:r w:rsidRPr="002F7D5A">
        <w:rPr>
          <w:sz w:val="24"/>
          <w:szCs w:val="24"/>
        </w:rPr>
        <w:t>Uznając, że przedsiębiorstwa mają obowiązek</w:t>
      </w:r>
      <w:r w:rsidR="004E3E1E" w:rsidRPr="002F7D5A">
        <w:rPr>
          <w:sz w:val="24"/>
          <w:szCs w:val="24"/>
        </w:rPr>
        <w:t xml:space="preserve"> poszanowania </w:t>
      </w:r>
      <w:r w:rsidRPr="002F7D5A">
        <w:rPr>
          <w:sz w:val="24"/>
          <w:szCs w:val="24"/>
        </w:rPr>
        <w:t>praw człowieka;</w:t>
      </w:r>
    </w:p>
    <w:p w:rsidR="005A4A82" w:rsidRPr="002F7D5A" w:rsidRDefault="00983352" w:rsidP="00E7396B">
      <w:pPr>
        <w:spacing w:before="120" w:after="120" w:line="240" w:lineRule="auto"/>
        <w:jc w:val="both"/>
        <w:rPr>
          <w:sz w:val="24"/>
          <w:szCs w:val="24"/>
        </w:rPr>
      </w:pPr>
      <w:r w:rsidRPr="002F7D5A">
        <w:rPr>
          <w:sz w:val="24"/>
          <w:szCs w:val="24"/>
        </w:rPr>
        <w:t>Uwzględniając dokument ramowy</w:t>
      </w:r>
      <w:r w:rsidR="00F03B59" w:rsidRPr="002F7D5A">
        <w:rPr>
          <w:sz w:val="24"/>
          <w:szCs w:val="24"/>
        </w:rPr>
        <w:t xml:space="preserve"> Organizacji</w:t>
      </w:r>
      <w:r w:rsidRPr="002F7D5A">
        <w:rPr>
          <w:sz w:val="24"/>
          <w:szCs w:val="24"/>
        </w:rPr>
        <w:t xml:space="preserve"> Narodó</w:t>
      </w:r>
      <w:r w:rsidR="00F03B59" w:rsidRPr="002F7D5A">
        <w:rPr>
          <w:sz w:val="24"/>
          <w:szCs w:val="24"/>
        </w:rPr>
        <w:t>w Zjednoczonych (O</w:t>
      </w:r>
      <w:r w:rsidRPr="002F7D5A">
        <w:rPr>
          <w:sz w:val="24"/>
          <w:szCs w:val="24"/>
        </w:rPr>
        <w:t>N</w:t>
      </w:r>
      <w:r w:rsidR="00F03B59" w:rsidRPr="002F7D5A">
        <w:rPr>
          <w:sz w:val="24"/>
          <w:szCs w:val="24"/>
        </w:rPr>
        <w:t>Z</w:t>
      </w:r>
      <w:r w:rsidRPr="002F7D5A">
        <w:rPr>
          <w:sz w:val="24"/>
          <w:szCs w:val="24"/>
        </w:rPr>
        <w:t xml:space="preserve">) „Chroń, </w:t>
      </w:r>
      <w:r w:rsidR="00AA230B">
        <w:rPr>
          <w:sz w:val="24"/>
          <w:szCs w:val="24"/>
        </w:rPr>
        <w:t>s</w:t>
      </w:r>
      <w:r w:rsidRPr="002F7D5A">
        <w:rPr>
          <w:sz w:val="24"/>
          <w:szCs w:val="24"/>
        </w:rPr>
        <w:t>zanuj</w:t>
      </w:r>
      <w:r w:rsidR="003A0D28" w:rsidRPr="002F7D5A">
        <w:rPr>
          <w:sz w:val="24"/>
          <w:szCs w:val="24"/>
        </w:rPr>
        <w:t xml:space="preserve"> i </w:t>
      </w:r>
      <w:r w:rsidR="00AA230B">
        <w:rPr>
          <w:sz w:val="24"/>
          <w:szCs w:val="24"/>
        </w:rPr>
        <w:t>n</w:t>
      </w:r>
      <w:r w:rsidR="003A0D28" w:rsidRPr="002F7D5A">
        <w:rPr>
          <w:sz w:val="24"/>
          <w:szCs w:val="24"/>
        </w:rPr>
        <w:t xml:space="preserve">aprawiaj”, przyjęty przez </w:t>
      </w:r>
      <w:r w:rsidR="00F03B59" w:rsidRPr="002F7D5A">
        <w:rPr>
          <w:sz w:val="24"/>
          <w:szCs w:val="24"/>
        </w:rPr>
        <w:t xml:space="preserve">Radę Praw Człowieka Narodów Zjednoczonych 18 czerwca 2008 r. oraz Wytyczne ONZ dotyczące biznesu i praw człowieka: wdrażające dokument ramowy ONZ „Chroń, </w:t>
      </w:r>
      <w:r w:rsidR="009B2017">
        <w:rPr>
          <w:sz w:val="24"/>
          <w:szCs w:val="24"/>
        </w:rPr>
        <w:t>s</w:t>
      </w:r>
      <w:r w:rsidR="00F03B59" w:rsidRPr="002F7D5A">
        <w:rPr>
          <w:sz w:val="24"/>
          <w:szCs w:val="24"/>
        </w:rPr>
        <w:t xml:space="preserve">zanuj i </w:t>
      </w:r>
      <w:r w:rsidR="009B2017">
        <w:rPr>
          <w:sz w:val="24"/>
          <w:szCs w:val="24"/>
        </w:rPr>
        <w:t>n</w:t>
      </w:r>
      <w:r w:rsidR="00F03B59" w:rsidRPr="002F7D5A">
        <w:rPr>
          <w:sz w:val="24"/>
          <w:szCs w:val="24"/>
        </w:rPr>
        <w:t>aprawiaj”,</w:t>
      </w:r>
      <w:r w:rsidR="00605733" w:rsidRPr="002F7D5A">
        <w:rPr>
          <w:sz w:val="24"/>
          <w:szCs w:val="24"/>
        </w:rPr>
        <w:t xml:space="preserve"> zatwierdzony przez Radę Praw Człowieka ONZ 16 czerwca 2011 r. („Wytyczne ONZ dotyczące biznesu i praw człowieka”);</w:t>
      </w:r>
    </w:p>
    <w:p w:rsidR="00C87158" w:rsidRPr="002F7D5A" w:rsidRDefault="00605733" w:rsidP="00E7396B">
      <w:pPr>
        <w:spacing w:before="120" w:after="120" w:line="240" w:lineRule="auto"/>
        <w:jc w:val="both"/>
        <w:rPr>
          <w:sz w:val="24"/>
          <w:szCs w:val="24"/>
        </w:rPr>
      </w:pPr>
      <w:r w:rsidRPr="002F7D5A">
        <w:rPr>
          <w:sz w:val="24"/>
          <w:szCs w:val="24"/>
        </w:rPr>
        <w:t xml:space="preserve">Uwzględniając </w:t>
      </w:r>
      <w:r w:rsidR="009B2017">
        <w:rPr>
          <w:sz w:val="24"/>
          <w:szCs w:val="24"/>
        </w:rPr>
        <w:t>komentarz</w:t>
      </w:r>
      <w:r w:rsidRPr="002F7D5A">
        <w:rPr>
          <w:sz w:val="24"/>
          <w:szCs w:val="24"/>
        </w:rPr>
        <w:t xml:space="preserve"> ogól</w:t>
      </w:r>
      <w:r w:rsidR="009B2017">
        <w:rPr>
          <w:sz w:val="24"/>
          <w:szCs w:val="24"/>
        </w:rPr>
        <w:t>ny</w:t>
      </w:r>
      <w:r w:rsidRPr="002F7D5A">
        <w:rPr>
          <w:sz w:val="24"/>
          <w:szCs w:val="24"/>
        </w:rPr>
        <w:t xml:space="preserve"> nr 16 Kom</w:t>
      </w:r>
      <w:r w:rsidR="008D61AC">
        <w:rPr>
          <w:sz w:val="24"/>
          <w:szCs w:val="24"/>
        </w:rPr>
        <w:t>itetu ONZ Praw Dziecka dotyczący</w:t>
      </w:r>
      <w:r w:rsidRPr="002F7D5A">
        <w:rPr>
          <w:sz w:val="24"/>
          <w:szCs w:val="24"/>
        </w:rPr>
        <w:t xml:space="preserve"> zobowiązań państwa w związku z wpływem</w:t>
      </w:r>
      <w:r w:rsidR="00C87158" w:rsidRPr="002F7D5A">
        <w:rPr>
          <w:sz w:val="24"/>
          <w:szCs w:val="24"/>
        </w:rPr>
        <w:t xml:space="preserve"> biznesu na p</w:t>
      </w:r>
      <w:r w:rsidR="008D61AC">
        <w:rPr>
          <w:sz w:val="24"/>
          <w:szCs w:val="24"/>
        </w:rPr>
        <w:t>rawa dzieci (2013) skierowany</w:t>
      </w:r>
      <w:r w:rsidR="00C87158" w:rsidRPr="002F7D5A">
        <w:rPr>
          <w:sz w:val="24"/>
          <w:szCs w:val="24"/>
        </w:rPr>
        <w:t xml:space="preserve"> do państw, które ratyfikowały Konwencję ONZ o prawach dziecka;</w:t>
      </w:r>
    </w:p>
    <w:p w:rsidR="00605733" w:rsidRPr="002F7D5A" w:rsidRDefault="00C87158" w:rsidP="00E7396B">
      <w:pPr>
        <w:spacing w:before="120" w:after="120" w:line="240" w:lineRule="auto"/>
        <w:jc w:val="both"/>
        <w:rPr>
          <w:sz w:val="24"/>
          <w:szCs w:val="24"/>
        </w:rPr>
      </w:pPr>
      <w:r w:rsidRPr="002F7D5A">
        <w:rPr>
          <w:sz w:val="24"/>
          <w:szCs w:val="24"/>
        </w:rPr>
        <w:t xml:space="preserve">Przypominając </w:t>
      </w:r>
      <w:r w:rsidR="005E6847" w:rsidRPr="002F7D5A">
        <w:rPr>
          <w:sz w:val="24"/>
          <w:szCs w:val="24"/>
        </w:rPr>
        <w:t xml:space="preserve">swoją </w:t>
      </w:r>
      <w:r w:rsidRPr="002F7D5A">
        <w:rPr>
          <w:sz w:val="24"/>
          <w:szCs w:val="24"/>
        </w:rPr>
        <w:t>Deklarację z 16 kwietnia 2014 r.</w:t>
      </w:r>
      <w:r w:rsidR="003F26A0">
        <w:rPr>
          <w:sz w:val="24"/>
          <w:szCs w:val="24"/>
        </w:rPr>
        <w:t xml:space="preserve"> </w:t>
      </w:r>
      <w:proofErr w:type="spellStart"/>
      <w:r w:rsidRPr="002F7D5A">
        <w:rPr>
          <w:sz w:val="24"/>
          <w:szCs w:val="24"/>
        </w:rPr>
        <w:t>ws</w:t>
      </w:r>
      <w:proofErr w:type="spellEnd"/>
      <w:r w:rsidRPr="002F7D5A">
        <w:rPr>
          <w:sz w:val="24"/>
          <w:szCs w:val="24"/>
        </w:rPr>
        <w:t xml:space="preserve">. Wytycznych ONZ dotyczących biznesu i praw człowieka </w:t>
      </w:r>
      <w:r w:rsidR="005E6847" w:rsidRPr="002F7D5A">
        <w:rPr>
          <w:sz w:val="24"/>
          <w:szCs w:val="24"/>
        </w:rPr>
        <w:t>i w szczególności fakt, że ich skuteczna implementacja</w:t>
      </w:r>
      <w:r w:rsidR="004E3E1E" w:rsidRPr="002F7D5A">
        <w:rPr>
          <w:sz w:val="24"/>
          <w:szCs w:val="24"/>
        </w:rPr>
        <w:t xml:space="preserve"> przez państwa i przedsiębiorstwa</w:t>
      </w:r>
      <w:r w:rsidR="005E6847" w:rsidRPr="002F7D5A">
        <w:rPr>
          <w:sz w:val="24"/>
          <w:szCs w:val="24"/>
        </w:rPr>
        <w:t>, jest konieczna do zapewnienia poszanowania praw człowieka w biznesie;</w:t>
      </w:r>
    </w:p>
    <w:p w:rsidR="006D1283" w:rsidRPr="002F7D5A" w:rsidRDefault="006D1283" w:rsidP="00E7396B">
      <w:pPr>
        <w:spacing w:before="120" w:after="120" w:line="240" w:lineRule="auto"/>
        <w:jc w:val="both"/>
        <w:rPr>
          <w:sz w:val="24"/>
          <w:szCs w:val="24"/>
        </w:rPr>
      </w:pPr>
      <w:r w:rsidRPr="002F7D5A">
        <w:rPr>
          <w:sz w:val="24"/>
          <w:szCs w:val="24"/>
        </w:rPr>
        <w:t xml:space="preserve">Podkreślając, przez niniejszą </w:t>
      </w:r>
      <w:r w:rsidR="004E3E1E" w:rsidRPr="002F7D5A">
        <w:rPr>
          <w:sz w:val="24"/>
          <w:szCs w:val="24"/>
        </w:rPr>
        <w:t>R</w:t>
      </w:r>
      <w:r w:rsidRPr="002F7D5A">
        <w:rPr>
          <w:sz w:val="24"/>
          <w:szCs w:val="24"/>
        </w:rPr>
        <w:t xml:space="preserve">ekomendację, swoje </w:t>
      </w:r>
      <w:r w:rsidR="003327F6" w:rsidRPr="002F7D5A">
        <w:rPr>
          <w:sz w:val="24"/>
          <w:szCs w:val="24"/>
        </w:rPr>
        <w:t>zaangażowanie na rzecz</w:t>
      </w:r>
      <w:r w:rsidRPr="002F7D5A">
        <w:rPr>
          <w:sz w:val="24"/>
          <w:szCs w:val="24"/>
        </w:rPr>
        <w:t xml:space="preserve"> skutecznej implementacji Wytycznych ONZ </w:t>
      </w:r>
      <w:r w:rsidR="003327F6" w:rsidRPr="002F7D5A">
        <w:rPr>
          <w:sz w:val="24"/>
          <w:szCs w:val="24"/>
        </w:rPr>
        <w:t>dotyczących</w:t>
      </w:r>
      <w:r w:rsidRPr="002F7D5A">
        <w:rPr>
          <w:sz w:val="24"/>
          <w:szCs w:val="24"/>
        </w:rPr>
        <w:t xml:space="preserve"> praw człowieka i biznesu na szczeblu europejskim,</w:t>
      </w:r>
    </w:p>
    <w:p w:rsidR="006D1283" w:rsidRPr="002F7D5A" w:rsidRDefault="006D1283" w:rsidP="00E7396B">
      <w:pPr>
        <w:spacing w:before="120" w:after="120" w:line="240" w:lineRule="auto"/>
        <w:jc w:val="both"/>
        <w:rPr>
          <w:sz w:val="24"/>
          <w:szCs w:val="24"/>
        </w:rPr>
      </w:pPr>
      <w:r w:rsidRPr="002F7D5A">
        <w:rPr>
          <w:sz w:val="24"/>
          <w:szCs w:val="24"/>
        </w:rPr>
        <w:t>Zaleca, aby rządy państw członkowskich:</w:t>
      </w:r>
    </w:p>
    <w:p w:rsidR="00CA5B36" w:rsidRPr="002F7D5A" w:rsidRDefault="00CA5B36" w:rsidP="00E7396B">
      <w:pPr>
        <w:numPr>
          <w:ilvl w:val="0"/>
          <w:numId w:val="1"/>
        </w:numPr>
        <w:spacing w:before="120" w:after="120" w:line="240" w:lineRule="auto"/>
        <w:jc w:val="both"/>
        <w:rPr>
          <w:sz w:val="24"/>
          <w:szCs w:val="24"/>
        </w:rPr>
      </w:pPr>
      <w:r w:rsidRPr="002F7D5A">
        <w:rPr>
          <w:sz w:val="24"/>
          <w:szCs w:val="24"/>
        </w:rPr>
        <w:t>dokonały przeglądu prawa i praktyki krajowej w celu zapewnienia zgodności z zaleceniami, zasadami i dalszymi wytycznymi określo</w:t>
      </w:r>
      <w:r w:rsidR="003327F6" w:rsidRPr="002F7D5A">
        <w:rPr>
          <w:sz w:val="24"/>
          <w:szCs w:val="24"/>
        </w:rPr>
        <w:t xml:space="preserve">nymi w </w:t>
      </w:r>
      <w:r w:rsidR="009372BC">
        <w:rPr>
          <w:sz w:val="24"/>
          <w:szCs w:val="24"/>
        </w:rPr>
        <w:t xml:space="preserve">załączniku </w:t>
      </w:r>
      <w:r w:rsidR="00045FD4">
        <w:rPr>
          <w:sz w:val="24"/>
          <w:szCs w:val="24"/>
        </w:rPr>
        <w:t xml:space="preserve">do </w:t>
      </w:r>
      <w:r w:rsidR="003327F6" w:rsidRPr="002F7D5A">
        <w:rPr>
          <w:sz w:val="24"/>
          <w:szCs w:val="24"/>
        </w:rPr>
        <w:lastRenderedPageBreak/>
        <w:t>Rekomendacji oraz dokonały</w:t>
      </w:r>
      <w:r w:rsidRPr="002F7D5A">
        <w:rPr>
          <w:sz w:val="24"/>
          <w:szCs w:val="24"/>
        </w:rPr>
        <w:t xml:space="preserve"> oceny skuteczności podjętych środków w regularnych odstępach czasu;</w:t>
      </w:r>
    </w:p>
    <w:p w:rsidR="00CA5B36" w:rsidRPr="002F7D5A" w:rsidRDefault="00CA5B36" w:rsidP="00E7396B">
      <w:pPr>
        <w:numPr>
          <w:ilvl w:val="0"/>
          <w:numId w:val="1"/>
        </w:numPr>
        <w:spacing w:before="120" w:after="120" w:line="240" w:lineRule="auto"/>
        <w:jc w:val="both"/>
        <w:rPr>
          <w:sz w:val="24"/>
          <w:szCs w:val="24"/>
        </w:rPr>
      </w:pPr>
      <w:r w:rsidRPr="002F7D5A">
        <w:rPr>
          <w:sz w:val="24"/>
          <w:szCs w:val="24"/>
        </w:rPr>
        <w:t xml:space="preserve">zapewniły szerokie rozpowszechnienie </w:t>
      </w:r>
      <w:r w:rsidR="003327F6" w:rsidRPr="002F7D5A">
        <w:rPr>
          <w:sz w:val="24"/>
          <w:szCs w:val="24"/>
        </w:rPr>
        <w:t xml:space="preserve">niniejszej </w:t>
      </w:r>
      <w:r w:rsidRPr="002F7D5A">
        <w:rPr>
          <w:sz w:val="24"/>
          <w:szCs w:val="24"/>
        </w:rPr>
        <w:t xml:space="preserve">Rekomendacji, poprzez odpowiednie środki i działania, między właściwymi organami i </w:t>
      </w:r>
      <w:r w:rsidR="003327F6" w:rsidRPr="002F7D5A">
        <w:rPr>
          <w:sz w:val="24"/>
          <w:szCs w:val="24"/>
        </w:rPr>
        <w:t>zainteresowanymi stronami</w:t>
      </w:r>
      <w:r w:rsidRPr="002F7D5A">
        <w:rPr>
          <w:sz w:val="24"/>
          <w:szCs w:val="24"/>
        </w:rPr>
        <w:t>, w celu podniesienia świadomości na temat odpowiedzialności korporacyjnej w zakresie poszanow</w:t>
      </w:r>
      <w:r w:rsidR="003327F6" w:rsidRPr="002F7D5A">
        <w:rPr>
          <w:sz w:val="24"/>
          <w:szCs w:val="24"/>
        </w:rPr>
        <w:t>ania praw człowieka i przyczynienia</w:t>
      </w:r>
      <w:r w:rsidRPr="002F7D5A">
        <w:rPr>
          <w:sz w:val="24"/>
          <w:szCs w:val="24"/>
        </w:rPr>
        <w:t xml:space="preserve"> się do ich realizacji;</w:t>
      </w:r>
    </w:p>
    <w:p w:rsidR="00C254C0" w:rsidRPr="002F7D5A" w:rsidRDefault="00CA5B36" w:rsidP="00E7396B">
      <w:pPr>
        <w:pStyle w:val="Akapitzlist"/>
        <w:numPr>
          <w:ilvl w:val="0"/>
          <w:numId w:val="1"/>
        </w:numPr>
        <w:spacing w:before="120" w:after="120" w:line="240" w:lineRule="auto"/>
        <w:contextualSpacing w:val="0"/>
        <w:jc w:val="both"/>
        <w:rPr>
          <w:sz w:val="24"/>
          <w:szCs w:val="24"/>
        </w:rPr>
      </w:pPr>
      <w:r w:rsidRPr="002F7D5A">
        <w:rPr>
          <w:sz w:val="24"/>
          <w:szCs w:val="24"/>
        </w:rPr>
        <w:t xml:space="preserve">dzieliły się przykładami dobrych praktyk związanych z realizacją Rekomendacji mając na względzie ich późniejsze umieszczenie w publicznym systemie wymiany informacji, który ma być utworzony i administrowany </w:t>
      </w:r>
      <w:r w:rsidR="00C254C0" w:rsidRPr="002F7D5A">
        <w:rPr>
          <w:sz w:val="24"/>
          <w:szCs w:val="24"/>
        </w:rPr>
        <w:t xml:space="preserve">przez Radę Europy oraz dostępny </w:t>
      </w:r>
      <w:r w:rsidRPr="002F7D5A">
        <w:rPr>
          <w:sz w:val="24"/>
          <w:szCs w:val="24"/>
        </w:rPr>
        <w:t xml:space="preserve">publicznie, </w:t>
      </w:r>
      <w:r w:rsidR="00E42AB0" w:rsidRPr="002F7D5A">
        <w:rPr>
          <w:sz w:val="24"/>
          <w:szCs w:val="24"/>
        </w:rPr>
        <w:t>uwzględniając również odniesienia</w:t>
      </w:r>
      <w:r w:rsidR="00C254C0" w:rsidRPr="002F7D5A">
        <w:rPr>
          <w:sz w:val="24"/>
          <w:szCs w:val="24"/>
        </w:rPr>
        <w:t xml:space="preserve"> do istniejących systemów informatycznych;</w:t>
      </w:r>
    </w:p>
    <w:p w:rsidR="00E42AB0" w:rsidRPr="002F7D5A" w:rsidRDefault="00CA5B36" w:rsidP="00E7396B">
      <w:pPr>
        <w:pStyle w:val="Akapitzlist"/>
        <w:numPr>
          <w:ilvl w:val="0"/>
          <w:numId w:val="1"/>
        </w:numPr>
        <w:spacing w:before="120" w:after="120" w:line="240" w:lineRule="auto"/>
        <w:contextualSpacing w:val="0"/>
        <w:jc w:val="both"/>
        <w:rPr>
          <w:sz w:val="24"/>
          <w:szCs w:val="24"/>
        </w:rPr>
      </w:pPr>
      <w:r w:rsidRPr="002F7D5A">
        <w:rPr>
          <w:sz w:val="24"/>
          <w:szCs w:val="24"/>
        </w:rPr>
        <w:t>rozpowszechniały</w:t>
      </w:r>
      <w:r w:rsidR="003F2430" w:rsidRPr="002F7D5A">
        <w:rPr>
          <w:sz w:val="24"/>
          <w:szCs w:val="24"/>
        </w:rPr>
        <w:t xml:space="preserve"> krajowe</w:t>
      </w:r>
      <w:r w:rsidRPr="002F7D5A">
        <w:rPr>
          <w:sz w:val="24"/>
          <w:szCs w:val="24"/>
        </w:rPr>
        <w:t xml:space="preserve"> p</w:t>
      </w:r>
      <w:r w:rsidR="003F2430" w:rsidRPr="002F7D5A">
        <w:rPr>
          <w:sz w:val="24"/>
          <w:szCs w:val="24"/>
        </w:rPr>
        <w:t>lany</w:t>
      </w:r>
      <w:r w:rsidRPr="002F7D5A">
        <w:rPr>
          <w:sz w:val="24"/>
          <w:szCs w:val="24"/>
        </w:rPr>
        <w:t xml:space="preserve"> działania</w:t>
      </w:r>
      <w:r w:rsidR="003F2430" w:rsidRPr="002F7D5A">
        <w:rPr>
          <w:sz w:val="24"/>
          <w:szCs w:val="24"/>
        </w:rPr>
        <w:t xml:space="preserve"> dot. implementacji W</w:t>
      </w:r>
      <w:r w:rsidRPr="002F7D5A">
        <w:rPr>
          <w:sz w:val="24"/>
          <w:szCs w:val="24"/>
        </w:rPr>
        <w:t xml:space="preserve">ytycznych ONZ </w:t>
      </w:r>
      <w:r w:rsidR="003F2430" w:rsidRPr="002F7D5A">
        <w:rPr>
          <w:sz w:val="24"/>
          <w:szCs w:val="24"/>
        </w:rPr>
        <w:t xml:space="preserve">dotyczących </w:t>
      </w:r>
      <w:r w:rsidRPr="002F7D5A">
        <w:rPr>
          <w:sz w:val="24"/>
          <w:szCs w:val="24"/>
        </w:rPr>
        <w:t>biznesu i praw człowieka (</w:t>
      </w:r>
      <w:r w:rsidR="003F2430" w:rsidRPr="002F7D5A">
        <w:rPr>
          <w:sz w:val="24"/>
          <w:szCs w:val="24"/>
        </w:rPr>
        <w:t>„</w:t>
      </w:r>
      <w:r w:rsidRPr="002F7D5A">
        <w:rPr>
          <w:sz w:val="24"/>
          <w:szCs w:val="24"/>
        </w:rPr>
        <w:t>Krajowy P</w:t>
      </w:r>
      <w:r w:rsidR="003F2430" w:rsidRPr="002F7D5A">
        <w:rPr>
          <w:sz w:val="24"/>
          <w:szCs w:val="24"/>
        </w:rPr>
        <w:t>lan</w:t>
      </w:r>
      <w:r w:rsidRPr="002F7D5A">
        <w:rPr>
          <w:sz w:val="24"/>
          <w:szCs w:val="24"/>
        </w:rPr>
        <w:t xml:space="preserve"> Dz</w:t>
      </w:r>
      <w:r w:rsidR="00871DAD" w:rsidRPr="002F7D5A">
        <w:rPr>
          <w:sz w:val="24"/>
          <w:szCs w:val="24"/>
        </w:rPr>
        <w:t>iałania</w:t>
      </w:r>
      <w:r w:rsidR="003F2430" w:rsidRPr="002F7D5A">
        <w:rPr>
          <w:sz w:val="24"/>
          <w:szCs w:val="24"/>
        </w:rPr>
        <w:t>”</w:t>
      </w:r>
      <w:r w:rsidR="00871DAD" w:rsidRPr="002F7D5A">
        <w:rPr>
          <w:sz w:val="24"/>
          <w:szCs w:val="24"/>
        </w:rPr>
        <w:t>)</w:t>
      </w:r>
      <w:r w:rsidRPr="002F7D5A">
        <w:rPr>
          <w:sz w:val="24"/>
          <w:szCs w:val="24"/>
        </w:rPr>
        <w:t>,</w:t>
      </w:r>
      <w:r w:rsidR="00871DAD" w:rsidRPr="002F7D5A">
        <w:rPr>
          <w:sz w:val="24"/>
          <w:szCs w:val="24"/>
        </w:rPr>
        <w:t xml:space="preserve"> w tym zrewidowane Krajowe Plany Działania,</w:t>
      </w:r>
      <w:r w:rsidR="003F2430" w:rsidRPr="002F7D5A">
        <w:rPr>
          <w:sz w:val="24"/>
          <w:szCs w:val="24"/>
        </w:rPr>
        <w:t xml:space="preserve"> jak również dzieliły</w:t>
      </w:r>
      <w:r w:rsidRPr="002F7D5A">
        <w:rPr>
          <w:sz w:val="24"/>
          <w:szCs w:val="24"/>
        </w:rPr>
        <w:t xml:space="preserve"> się najlepszymi praktykami </w:t>
      </w:r>
      <w:r w:rsidR="00871DAD" w:rsidRPr="002F7D5A">
        <w:rPr>
          <w:sz w:val="24"/>
          <w:szCs w:val="24"/>
        </w:rPr>
        <w:t>w zakresie rozwoju i przeglądu Krajowych Planów D</w:t>
      </w:r>
      <w:r w:rsidRPr="002F7D5A">
        <w:rPr>
          <w:sz w:val="24"/>
          <w:szCs w:val="24"/>
        </w:rPr>
        <w:t>ziałania w systemie wymiany inform</w:t>
      </w:r>
      <w:r w:rsidR="003B0155" w:rsidRPr="002F7D5A">
        <w:rPr>
          <w:sz w:val="24"/>
          <w:szCs w:val="24"/>
        </w:rPr>
        <w:t xml:space="preserve">acji, który ma być utworzony i administrowany przez Radę Europy oraz dostępny publicznie, </w:t>
      </w:r>
      <w:r w:rsidR="00E42AB0" w:rsidRPr="002F7D5A">
        <w:rPr>
          <w:sz w:val="24"/>
          <w:szCs w:val="24"/>
        </w:rPr>
        <w:t>uwzględniając również odniesienia do istniejących systemów informatycznych;</w:t>
      </w:r>
    </w:p>
    <w:p w:rsidR="00CA5B36" w:rsidRDefault="00CE0899" w:rsidP="00E7396B">
      <w:pPr>
        <w:pStyle w:val="Akapitzlist"/>
        <w:numPr>
          <w:ilvl w:val="0"/>
          <w:numId w:val="1"/>
        </w:numPr>
        <w:spacing w:before="120" w:after="120" w:line="240" w:lineRule="auto"/>
        <w:contextualSpacing w:val="0"/>
        <w:jc w:val="both"/>
        <w:rPr>
          <w:sz w:val="24"/>
          <w:szCs w:val="24"/>
        </w:rPr>
      </w:pPr>
      <w:r w:rsidRPr="002F7D5A">
        <w:rPr>
          <w:sz w:val="24"/>
          <w:szCs w:val="24"/>
        </w:rPr>
        <w:t>dokonały</w:t>
      </w:r>
      <w:r w:rsidR="00CA5B36" w:rsidRPr="002F7D5A">
        <w:rPr>
          <w:sz w:val="24"/>
          <w:szCs w:val="24"/>
        </w:rPr>
        <w:t xml:space="preserve"> sprawdzenia</w:t>
      </w:r>
      <w:r w:rsidRPr="002F7D5A">
        <w:rPr>
          <w:sz w:val="24"/>
          <w:szCs w:val="24"/>
        </w:rPr>
        <w:t>, w ramach Komitetu Ministrów,</w:t>
      </w:r>
      <w:r w:rsidR="00CA5B36" w:rsidRPr="002F7D5A">
        <w:rPr>
          <w:sz w:val="24"/>
          <w:szCs w:val="24"/>
        </w:rPr>
        <w:t xml:space="preserve"> stanu implementacji Rekomendacji nie później niż w ci</w:t>
      </w:r>
      <w:r w:rsidRPr="002F7D5A">
        <w:rPr>
          <w:sz w:val="24"/>
          <w:szCs w:val="24"/>
        </w:rPr>
        <w:t xml:space="preserve">ągu pięciu lat od </w:t>
      </w:r>
      <w:r w:rsidR="009372BC">
        <w:rPr>
          <w:sz w:val="24"/>
          <w:szCs w:val="24"/>
        </w:rPr>
        <w:t xml:space="preserve">daty </w:t>
      </w:r>
      <w:r w:rsidRPr="002F7D5A">
        <w:rPr>
          <w:sz w:val="24"/>
          <w:szCs w:val="24"/>
        </w:rPr>
        <w:t>jej przyjęcia, z udziałem właściwych</w:t>
      </w:r>
      <w:r w:rsidR="005644D8" w:rsidRPr="002F7D5A">
        <w:rPr>
          <w:sz w:val="24"/>
          <w:szCs w:val="24"/>
        </w:rPr>
        <w:t xml:space="preserve"> interesariuszy.</w:t>
      </w:r>
    </w:p>
    <w:p w:rsidR="00C254C0" w:rsidRPr="002F7D5A" w:rsidRDefault="00C254C0" w:rsidP="00E7396B">
      <w:pPr>
        <w:spacing w:before="120" w:after="120" w:line="240" w:lineRule="auto"/>
        <w:ind w:left="720"/>
        <w:jc w:val="both"/>
        <w:rPr>
          <w:sz w:val="24"/>
          <w:szCs w:val="24"/>
        </w:rPr>
      </w:pPr>
    </w:p>
    <w:p w:rsidR="005644D8" w:rsidRPr="002F7D5A" w:rsidRDefault="005644D8" w:rsidP="00E7396B">
      <w:pPr>
        <w:spacing w:before="120" w:after="120" w:line="240" w:lineRule="auto"/>
        <w:ind w:left="360"/>
        <w:jc w:val="right"/>
        <w:rPr>
          <w:i/>
          <w:sz w:val="24"/>
          <w:szCs w:val="24"/>
        </w:rPr>
      </w:pPr>
      <w:r w:rsidRPr="002F7D5A">
        <w:rPr>
          <w:i/>
          <w:sz w:val="24"/>
          <w:szCs w:val="24"/>
        </w:rPr>
        <w:t>Załącznik do Rekomendacji CM/</w:t>
      </w:r>
      <w:proofErr w:type="spellStart"/>
      <w:r w:rsidRPr="002F7D5A">
        <w:rPr>
          <w:i/>
          <w:sz w:val="24"/>
          <w:szCs w:val="24"/>
        </w:rPr>
        <w:t>Rec</w:t>
      </w:r>
      <w:proofErr w:type="spellEnd"/>
      <w:r w:rsidRPr="002F7D5A">
        <w:rPr>
          <w:i/>
          <w:sz w:val="24"/>
          <w:szCs w:val="24"/>
        </w:rPr>
        <w:t>(2016)3</w:t>
      </w:r>
    </w:p>
    <w:p w:rsidR="00C254C0" w:rsidRPr="002F7D5A" w:rsidRDefault="00C254C0" w:rsidP="00E7396B">
      <w:pPr>
        <w:spacing w:before="120" w:after="120" w:line="240" w:lineRule="auto"/>
        <w:ind w:left="360"/>
        <w:jc w:val="both"/>
        <w:rPr>
          <w:i/>
          <w:sz w:val="24"/>
          <w:szCs w:val="24"/>
        </w:rPr>
      </w:pPr>
    </w:p>
    <w:p w:rsidR="005644D8" w:rsidRPr="00E7396B" w:rsidRDefault="003F2430" w:rsidP="00E7396B">
      <w:pPr>
        <w:pStyle w:val="Akapitzlist"/>
        <w:numPr>
          <w:ilvl w:val="0"/>
          <w:numId w:val="3"/>
        </w:numPr>
        <w:spacing w:before="120" w:after="120" w:line="240" w:lineRule="auto"/>
        <w:ind w:left="993" w:hanging="273"/>
        <w:contextualSpacing w:val="0"/>
        <w:jc w:val="both"/>
        <w:rPr>
          <w:b/>
          <w:i/>
          <w:sz w:val="24"/>
          <w:szCs w:val="24"/>
        </w:rPr>
      </w:pPr>
      <w:r w:rsidRPr="002F7D5A">
        <w:rPr>
          <w:b/>
          <w:sz w:val="24"/>
          <w:szCs w:val="24"/>
        </w:rPr>
        <w:t>Implementacja</w:t>
      </w:r>
      <w:r w:rsidR="005644D8" w:rsidRPr="002F7D5A">
        <w:rPr>
          <w:b/>
          <w:sz w:val="24"/>
          <w:szCs w:val="24"/>
        </w:rPr>
        <w:t xml:space="preserve"> Wytycznych ONZ </w:t>
      </w:r>
      <w:r w:rsidRPr="002F7D5A">
        <w:rPr>
          <w:b/>
          <w:sz w:val="24"/>
          <w:szCs w:val="24"/>
        </w:rPr>
        <w:t xml:space="preserve">dotyczących </w:t>
      </w:r>
      <w:r w:rsidR="005644D8" w:rsidRPr="002F7D5A">
        <w:rPr>
          <w:b/>
          <w:sz w:val="24"/>
          <w:szCs w:val="24"/>
        </w:rPr>
        <w:t>biznesu i praw człowieka</w:t>
      </w:r>
    </w:p>
    <w:p w:rsidR="00E7396B" w:rsidRPr="002F7D5A" w:rsidRDefault="00E7396B" w:rsidP="00E7396B">
      <w:pPr>
        <w:pStyle w:val="Akapitzlist"/>
        <w:spacing w:before="120" w:after="120" w:line="240" w:lineRule="auto"/>
        <w:ind w:left="993"/>
        <w:contextualSpacing w:val="0"/>
        <w:jc w:val="both"/>
        <w:rPr>
          <w:b/>
          <w:i/>
          <w:sz w:val="24"/>
          <w:szCs w:val="24"/>
        </w:rPr>
      </w:pPr>
    </w:p>
    <w:p w:rsidR="005644D8" w:rsidRPr="002F7D5A" w:rsidRDefault="00A70E42" w:rsidP="00E7396B">
      <w:pPr>
        <w:pStyle w:val="Akapitzlist"/>
        <w:numPr>
          <w:ilvl w:val="0"/>
          <w:numId w:val="4"/>
        </w:numPr>
        <w:spacing w:before="120" w:after="120" w:line="240" w:lineRule="auto"/>
        <w:contextualSpacing w:val="0"/>
        <w:jc w:val="both"/>
        <w:rPr>
          <w:b/>
          <w:sz w:val="24"/>
          <w:szCs w:val="24"/>
        </w:rPr>
      </w:pPr>
      <w:r>
        <w:rPr>
          <w:b/>
          <w:sz w:val="24"/>
          <w:szCs w:val="24"/>
        </w:rPr>
        <w:t xml:space="preserve">Środki </w:t>
      </w:r>
      <w:r w:rsidR="005644D8" w:rsidRPr="002F7D5A">
        <w:rPr>
          <w:b/>
          <w:sz w:val="24"/>
          <w:szCs w:val="24"/>
        </w:rPr>
        <w:t>o charakterze ogólnym</w:t>
      </w:r>
    </w:p>
    <w:p w:rsidR="004058FC" w:rsidRPr="002F7D5A" w:rsidRDefault="005644D8" w:rsidP="00E7396B">
      <w:pPr>
        <w:pStyle w:val="Akapitzlist"/>
        <w:numPr>
          <w:ilvl w:val="0"/>
          <w:numId w:val="5"/>
        </w:numPr>
        <w:spacing w:before="120" w:after="120" w:line="240" w:lineRule="auto"/>
        <w:contextualSpacing w:val="0"/>
        <w:jc w:val="both"/>
        <w:rPr>
          <w:sz w:val="24"/>
          <w:szCs w:val="24"/>
        </w:rPr>
      </w:pPr>
      <w:r w:rsidRPr="002F7D5A">
        <w:rPr>
          <w:sz w:val="24"/>
          <w:szCs w:val="24"/>
        </w:rPr>
        <w:t xml:space="preserve">Państwa członkowskie powinny skutecznie wdrożyć Wytyczne ONZ </w:t>
      </w:r>
      <w:r w:rsidR="00B667C6" w:rsidRPr="002F7D5A">
        <w:rPr>
          <w:sz w:val="24"/>
          <w:szCs w:val="24"/>
        </w:rPr>
        <w:t>dotyczące</w:t>
      </w:r>
      <w:r w:rsidRPr="002F7D5A">
        <w:rPr>
          <w:sz w:val="24"/>
          <w:szCs w:val="24"/>
        </w:rPr>
        <w:t xml:space="preserve"> biznesu i praw człowieka</w:t>
      </w:r>
      <w:r w:rsidR="00860C5B">
        <w:rPr>
          <w:sz w:val="24"/>
          <w:szCs w:val="24"/>
        </w:rPr>
        <w:t>,</w:t>
      </w:r>
      <w:r w:rsidR="004058FC" w:rsidRPr="002F7D5A">
        <w:rPr>
          <w:sz w:val="24"/>
          <w:szCs w:val="24"/>
        </w:rPr>
        <w:t xml:space="preserve"> jako </w:t>
      </w:r>
      <w:r w:rsidR="00C254C0" w:rsidRPr="002F7D5A">
        <w:rPr>
          <w:sz w:val="24"/>
          <w:szCs w:val="24"/>
        </w:rPr>
        <w:t xml:space="preserve">obecnie </w:t>
      </w:r>
      <w:r w:rsidR="004058FC" w:rsidRPr="002F7D5A">
        <w:rPr>
          <w:sz w:val="24"/>
          <w:szCs w:val="24"/>
        </w:rPr>
        <w:t>uzgodnione na szczeblu światowym standardy w dziedzinie biznesu i praw człowieka, które opierają się na trzech filarach:</w:t>
      </w:r>
    </w:p>
    <w:p w:rsidR="004058FC" w:rsidRPr="002F7D5A" w:rsidRDefault="003B4CF4" w:rsidP="00E7396B">
      <w:pPr>
        <w:pStyle w:val="Akapitzlist"/>
        <w:numPr>
          <w:ilvl w:val="0"/>
          <w:numId w:val="6"/>
        </w:numPr>
        <w:spacing w:before="120" w:after="120" w:line="240" w:lineRule="auto"/>
        <w:contextualSpacing w:val="0"/>
        <w:jc w:val="both"/>
        <w:rPr>
          <w:sz w:val="24"/>
          <w:szCs w:val="24"/>
        </w:rPr>
      </w:pPr>
      <w:r>
        <w:rPr>
          <w:sz w:val="24"/>
          <w:szCs w:val="24"/>
        </w:rPr>
        <w:t>z</w:t>
      </w:r>
      <w:r w:rsidR="00052205" w:rsidRPr="002F7D5A">
        <w:rPr>
          <w:sz w:val="24"/>
          <w:szCs w:val="24"/>
        </w:rPr>
        <w:t>obowiązań</w:t>
      </w:r>
      <w:r w:rsidR="00250232" w:rsidRPr="002F7D5A">
        <w:rPr>
          <w:sz w:val="24"/>
          <w:szCs w:val="24"/>
        </w:rPr>
        <w:t xml:space="preserve"> państw do poszanowania, ochrony oraz </w:t>
      </w:r>
      <w:r w:rsidR="00052205" w:rsidRPr="002F7D5A">
        <w:rPr>
          <w:sz w:val="24"/>
          <w:szCs w:val="24"/>
        </w:rPr>
        <w:t>realizacji</w:t>
      </w:r>
      <w:r w:rsidR="00250232" w:rsidRPr="002F7D5A">
        <w:rPr>
          <w:sz w:val="24"/>
          <w:szCs w:val="24"/>
        </w:rPr>
        <w:t xml:space="preserve"> praw czło</w:t>
      </w:r>
      <w:r w:rsidR="00011623">
        <w:rPr>
          <w:sz w:val="24"/>
          <w:szCs w:val="24"/>
        </w:rPr>
        <w:t>wieka i podstawowych wolności („</w:t>
      </w:r>
      <w:r w:rsidR="00250232" w:rsidRPr="002F7D5A">
        <w:rPr>
          <w:sz w:val="24"/>
          <w:szCs w:val="24"/>
        </w:rPr>
        <w:t xml:space="preserve">Obowiązek państwa </w:t>
      </w:r>
      <w:r w:rsidR="00A70E42">
        <w:rPr>
          <w:sz w:val="24"/>
          <w:szCs w:val="24"/>
        </w:rPr>
        <w:t>ochrony</w:t>
      </w:r>
      <w:r w:rsidR="00250232" w:rsidRPr="002F7D5A">
        <w:rPr>
          <w:sz w:val="24"/>
          <w:szCs w:val="24"/>
        </w:rPr>
        <w:t xml:space="preserve"> praw człowieka”);</w:t>
      </w:r>
    </w:p>
    <w:p w:rsidR="00250232" w:rsidRPr="002F7D5A" w:rsidRDefault="00655F13" w:rsidP="00E7396B">
      <w:pPr>
        <w:pStyle w:val="Akapitzlist"/>
        <w:numPr>
          <w:ilvl w:val="0"/>
          <w:numId w:val="6"/>
        </w:numPr>
        <w:spacing w:before="120" w:after="120" w:line="240" w:lineRule="auto"/>
        <w:contextualSpacing w:val="0"/>
        <w:jc w:val="both"/>
        <w:rPr>
          <w:sz w:val="24"/>
          <w:szCs w:val="24"/>
        </w:rPr>
      </w:pPr>
      <w:r>
        <w:rPr>
          <w:sz w:val="24"/>
          <w:szCs w:val="24"/>
        </w:rPr>
        <w:t>r</w:t>
      </w:r>
      <w:r w:rsidR="00052205" w:rsidRPr="002F7D5A">
        <w:rPr>
          <w:sz w:val="24"/>
          <w:szCs w:val="24"/>
        </w:rPr>
        <w:t>oli</w:t>
      </w:r>
      <w:r w:rsidR="00250232" w:rsidRPr="002F7D5A">
        <w:rPr>
          <w:sz w:val="24"/>
          <w:szCs w:val="24"/>
        </w:rPr>
        <w:t xml:space="preserve"> przedsiębiorstw jako</w:t>
      </w:r>
      <w:r w:rsidR="00121A68" w:rsidRPr="002F7D5A">
        <w:rPr>
          <w:sz w:val="24"/>
          <w:szCs w:val="24"/>
        </w:rPr>
        <w:t xml:space="preserve"> wyspecjalizowanych organów </w:t>
      </w:r>
      <w:r w:rsidR="00052205" w:rsidRPr="002F7D5A">
        <w:rPr>
          <w:sz w:val="24"/>
          <w:szCs w:val="24"/>
        </w:rPr>
        <w:t xml:space="preserve">społecznych pełniących </w:t>
      </w:r>
      <w:r w:rsidR="00A50BAB">
        <w:rPr>
          <w:sz w:val="24"/>
          <w:szCs w:val="24"/>
        </w:rPr>
        <w:t xml:space="preserve">specjalistyczne </w:t>
      </w:r>
      <w:r w:rsidR="00121A68" w:rsidRPr="002F7D5A">
        <w:rPr>
          <w:sz w:val="24"/>
          <w:szCs w:val="24"/>
        </w:rPr>
        <w:t xml:space="preserve">funkcje, </w:t>
      </w:r>
      <w:r w:rsidR="00052205" w:rsidRPr="002F7D5A">
        <w:rPr>
          <w:sz w:val="24"/>
          <w:szCs w:val="24"/>
        </w:rPr>
        <w:t>od których wymaga się</w:t>
      </w:r>
      <w:r w:rsidR="00C406F8" w:rsidRPr="002F7D5A">
        <w:rPr>
          <w:sz w:val="24"/>
          <w:szCs w:val="24"/>
        </w:rPr>
        <w:t xml:space="preserve"> przestrzegania obowiązującego prawa oraz </w:t>
      </w:r>
      <w:r w:rsidR="00501C5C" w:rsidRPr="002F7D5A">
        <w:rPr>
          <w:sz w:val="24"/>
          <w:szCs w:val="24"/>
        </w:rPr>
        <w:t>poszanowania</w:t>
      </w:r>
      <w:r w:rsidR="00C406F8" w:rsidRPr="002F7D5A">
        <w:rPr>
          <w:sz w:val="24"/>
          <w:szCs w:val="24"/>
        </w:rPr>
        <w:t xml:space="preserve"> praw </w:t>
      </w:r>
      <w:r w:rsidR="00501C5C" w:rsidRPr="002F7D5A">
        <w:rPr>
          <w:sz w:val="24"/>
          <w:szCs w:val="24"/>
        </w:rPr>
        <w:t>człowieka</w:t>
      </w:r>
      <w:r w:rsidR="00C406F8" w:rsidRPr="002F7D5A">
        <w:rPr>
          <w:sz w:val="24"/>
          <w:szCs w:val="24"/>
        </w:rPr>
        <w:t xml:space="preserve"> („odpowiedzialność przedsiębiorstw </w:t>
      </w:r>
      <w:r w:rsidR="00B02855" w:rsidRPr="002F7D5A">
        <w:rPr>
          <w:sz w:val="24"/>
          <w:szCs w:val="24"/>
        </w:rPr>
        <w:t>za poszanowanie</w:t>
      </w:r>
      <w:r w:rsidR="00501C5C" w:rsidRPr="002F7D5A">
        <w:rPr>
          <w:sz w:val="24"/>
          <w:szCs w:val="24"/>
        </w:rPr>
        <w:t xml:space="preserve"> praw człowieka”);</w:t>
      </w:r>
    </w:p>
    <w:p w:rsidR="00501C5C" w:rsidRPr="002F7D5A" w:rsidRDefault="00655F13" w:rsidP="00E7396B">
      <w:pPr>
        <w:pStyle w:val="Akapitzlist"/>
        <w:numPr>
          <w:ilvl w:val="0"/>
          <w:numId w:val="6"/>
        </w:numPr>
        <w:spacing w:before="120" w:after="120" w:line="240" w:lineRule="auto"/>
        <w:contextualSpacing w:val="0"/>
        <w:jc w:val="both"/>
        <w:rPr>
          <w:sz w:val="24"/>
          <w:szCs w:val="24"/>
        </w:rPr>
      </w:pPr>
      <w:r>
        <w:rPr>
          <w:sz w:val="24"/>
          <w:szCs w:val="24"/>
        </w:rPr>
        <w:t>p</w:t>
      </w:r>
      <w:r w:rsidR="006C5B27" w:rsidRPr="002F7D5A">
        <w:rPr>
          <w:sz w:val="24"/>
          <w:szCs w:val="24"/>
        </w:rPr>
        <w:t xml:space="preserve">otrzeby zapewnienia odpowiednich i skutecznych środków zaradczych </w:t>
      </w:r>
      <w:r w:rsidR="000E5A29">
        <w:rPr>
          <w:sz w:val="24"/>
          <w:szCs w:val="24"/>
        </w:rPr>
        <w:t xml:space="preserve">w razie </w:t>
      </w:r>
      <w:r w:rsidR="00C17C19" w:rsidRPr="002F7D5A">
        <w:rPr>
          <w:sz w:val="24"/>
          <w:szCs w:val="24"/>
        </w:rPr>
        <w:t>naruszenia</w:t>
      </w:r>
      <w:r w:rsidR="006C5B27" w:rsidRPr="002F7D5A">
        <w:rPr>
          <w:sz w:val="24"/>
          <w:szCs w:val="24"/>
        </w:rPr>
        <w:t xml:space="preserve"> praw i obowiązków</w:t>
      </w:r>
      <w:r w:rsidR="00C17C19" w:rsidRPr="002F7D5A">
        <w:rPr>
          <w:sz w:val="24"/>
          <w:szCs w:val="24"/>
        </w:rPr>
        <w:t xml:space="preserve"> </w:t>
      </w:r>
      <w:r w:rsidR="00501C5C" w:rsidRPr="002F7D5A">
        <w:rPr>
          <w:sz w:val="24"/>
          <w:szCs w:val="24"/>
        </w:rPr>
        <w:t>(„dostęp do środków zaradczych”).</w:t>
      </w:r>
    </w:p>
    <w:p w:rsidR="00EF78D3" w:rsidRPr="002F7D5A" w:rsidRDefault="00501C5C" w:rsidP="00E7396B">
      <w:pPr>
        <w:pStyle w:val="Akapitzlist"/>
        <w:numPr>
          <w:ilvl w:val="0"/>
          <w:numId w:val="5"/>
        </w:numPr>
        <w:spacing w:before="120" w:after="120" w:line="240" w:lineRule="auto"/>
        <w:ind w:left="924" w:hanging="357"/>
        <w:contextualSpacing w:val="0"/>
        <w:jc w:val="both"/>
        <w:rPr>
          <w:sz w:val="24"/>
          <w:szCs w:val="24"/>
        </w:rPr>
      </w:pPr>
      <w:r w:rsidRPr="002F7D5A">
        <w:rPr>
          <w:sz w:val="24"/>
          <w:szCs w:val="24"/>
        </w:rPr>
        <w:lastRenderedPageBreak/>
        <w:t xml:space="preserve">Państwa członkowskie powinny wdrożyć Wytyczne ONZ </w:t>
      </w:r>
      <w:r w:rsidR="00C17C19" w:rsidRPr="002F7D5A">
        <w:rPr>
          <w:sz w:val="24"/>
          <w:szCs w:val="24"/>
        </w:rPr>
        <w:t>dotyczące</w:t>
      </w:r>
      <w:r w:rsidRPr="002F7D5A">
        <w:rPr>
          <w:sz w:val="24"/>
          <w:szCs w:val="24"/>
        </w:rPr>
        <w:t xml:space="preserve"> biznesu i praw człowieka</w:t>
      </w:r>
      <w:r w:rsidR="00E72B5A" w:rsidRPr="002F7D5A">
        <w:rPr>
          <w:sz w:val="24"/>
          <w:szCs w:val="24"/>
        </w:rPr>
        <w:t xml:space="preserve"> oraz niniejszą Rekomendację w sposób niedyskryminacyjn</w:t>
      </w:r>
      <w:r w:rsidR="00C17C19" w:rsidRPr="002F7D5A">
        <w:rPr>
          <w:sz w:val="24"/>
          <w:szCs w:val="24"/>
        </w:rPr>
        <w:t xml:space="preserve">y i z należytym uwzględnieniem </w:t>
      </w:r>
      <w:r w:rsidR="00E72B5A" w:rsidRPr="002F7D5A">
        <w:rPr>
          <w:sz w:val="24"/>
          <w:szCs w:val="24"/>
        </w:rPr>
        <w:t>ryzyka</w:t>
      </w:r>
      <w:r w:rsidR="00E42AB0" w:rsidRPr="002F7D5A">
        <w:rPr>
          <w:sz w:val="24"/>
          <w:szCs w:val="24"/>
        </w:rPr>
        <w:t xml:space="preserve"> dotyczącego problematyki płci.</w:t>
      </w:r>
    </w:p>
    <w:p w:rsidR="00EF78D3" w:rsidRPr="002F7D5A" w:rsidRDefault="00133BC0" w:rsidP="00E7396B">
      <w:pPr>
        <w:pStyle w:val="Akapitzlist"/>
        <w:numPr>
          <w:ilvl w:val="0"/>
          <w:numId w:val="5"/>
        </w:numPr>
        <w:spacing w:before="120" w:after="120" w:line="240" w:lineRule="auto"/>
        <w:ind w:left="924" w:hanging="357"/>
        <w:contextualSpacing w:val="0"/>
        <w:jc w:val="both"/>
        <w:rPr>
          <w:sz w:val="24"/>
          <w:szCs w:val="24"/>
        </w:rPr>
      </w:pPr>
      <w:r w:rsidRPr="002F7D5A">
        <w:rPr>
          <w:sz w:val="24"/>
          <w:szCs w:val="24"/>
        </w:rPr>
        <w:t>Wdrażając Wytyczne</w:t>
      </w:r>
      <w:r w:rsidR="00E72B5A" w:rsidRPr="002F7D5A">
        <w:rPr>
          <w:sz w:val="24"/>
          <w:szCs w:val="24"/>
        </w:rPr>
        <w:t xml:space="preserve"> ONZ </w:t>
      </w:r>
      <w:r w:rsidR="00C17C19" w:rsidRPr="002F7D5A">
        <w:rPr>
          <w:sz w:val="24"/>
          <w:szCs w:val="24"/>
        </w:rPr>
        <w:t>dotyczące</w:t>
      </w:r>
      <w:r w:rsidR="00E72B5A" w:rsidRPr="002F7D5A">
        <w:rPr>
          <w:sz w:val="24"/>
          <w:szCs w:val="24"/>
        </w:rPr>
        <w:t xml:space="preserve"> biznesu i praw człowieka państwa członkowskie powinny wziąć pod uwagę</w:t>
      </w:r>
      <w:r w:rsidRPr="002F7D5A">
        <w:rPr>
          <w:sz w:val="24"/>
          <w:szCs w:val="24"/>
        </w:rPr>
        <w:t xml:space="preserve"> peł</w:t>
      </w:r>
      <w:r w:rsidR="006265DD" w:rsidRPr="002F7D5A">
        <w:rPr>
          <w:sz w:val="24"/>
          <w:szCs w:val="24"/>
        </w:rPr>
        <w:t>n</w:t>
      </w:r>
      <w:r w:rsidRPr="002F7D5A">
        <w:rPr>
          <w:sz w:val="24"/>
          <w:szCs w:val="24"/>
        </w:rPr>
        <w:t>e spektrum</w:t>
      </w:r>
      <w:r w:rsidR="006265DD" w:rsidRPr="002F7D5A">
        <w:rPr>
          <w:sz w:val="24"/>
          <w:szCs w:val="24"/>
        </w:rPr>
        <w:t xml:space="preserve"> międzynarodowych standardów praw człowieka i</w:t>
      </w:r>
      <w:r w:rsidRPr="002F7D5A">
        <w:rPr>
          <w:sz w:val="24"/>
          <w:szCs w:val="24"/>
        </w:rPr>
        <w:t xml:space="preserve"> zapewnić zgodność i spójność na wszystkich szczeblach administracji. Państwa członkowskie, które nie wyraziły zgody na </w:t>
      </w:r>
      <w:r w:rsidR="006C5B27" w:rsidRPr="002F7D5A">
        <w:rPr>
          <w:sz w:val="24"/>
          <w:szCs w:val="24"/>
        </w:rPr>
        <w:t>przystąpienie do konwencji, o których</w:t>
      </w:r>
      <w:r w:rsidRPr="002F7D5A">
        <w:rPr>
          <w:sz w:val="24"/>
          <w:szCs w:val="24"/>
        </w:rPr>
        <w:t xml:space="preserve"> mowa w niniejsze</w:t>
      </w:r>
      <w:r w:rsidR="006C5B27" w:rsidRPr="002F7D5A">
        <w:rPr>
          <w:sz w:val="24"/>
          <w:szCs w:val="24"/>
        </w:rPr>
        <w:t>j Rekomendacji</w:t>
      </w:r>
      <w:r w:rsidR="009A1B97">
        <w:rPr>
          <w:sz w:val="24"/>
          <w:szCs w:val="24"/>
        </w:rPr>
        <w:t>,</w:t>
      </w:r>
      <w:r w:rsidR="006C5B27" w:rsidRPr="002F7D5A">
        <w:rPr>
          <w:sz w:val="24"/>
          <w:szCs w:val="24"/>
        </w:rPr>
        <w:t xml:space="preserve"> powinny to rozważyć</w:t>
      </w:r>
      <w:r w:rsidRPr="002F7D5A">
        <w:rPr>
          <w:sz w:val="24"/>
          <w:szCs w:val="24"/>
        </w:rPr>
        <w:t>.</w:t>
      </w:r>
    </w:p>
    <w:p w:rsidR="00133BC0" w:rsidRPr="002F7D5A" w:rsidRDefault="00133BC0" w:rsidP="00E7396B">
      <w:pPr>
        <w:pStyle w:val="Akapitzlist"/>
        <w:numPr>
          <w:ilvl w:val="0"/>
          <w:numId w:val="5"/>
        </w:numPr>
        <w:spacing w:before="120" w:after="120" w:line="240" w:lineRule="auto"/>
        <w:ind w:left="924" w:hanging="357"/>
        <w:contextualSpacing w:val="0"/>
        <w:jc w:val="both"/>
        <w:rPr>
          <w:sz w:val="24"/>
          <w:szCs w:val="24"/>
        </w:rPr>
      </w:pPr>
      <w:r w:rsidRPr="002F7D5A">
        <w:rPr>
          <w:sz w:val="24"/>
          <w:szCs w:val="24"/>
        </w:rPr>
        <w:t>Państwa członkowskie powinny zwrócić należytą uwagę na stanowiska, ogólne uwag</w:t>
      </w:r>
      <w:r w:rsidR="003A32BD" w:rsidRPr="002F7D5A">
        <w:rPr>
          <w:sz w:val="24"/>
          <w:szCs w:val="24"/>
        </w:rPr>
        <w:t>i, zalecenia i komentarze tematyczne, wydane</w:t>
      </w:r>
      <w:r w:rsidRPr="002F7D5A">
        <w:rPr>
          <w:sz w:val="24"/>
          <w:szCs w:val="24"/>
        </w:rPr>
        <w:t xml:space="preserve"> przez właściwe organy monitorujące, </w:t>
      </w:r>
      <w:r w:rsidR="00A34373" w:rsidRPr="002F7D5A">
        <w:rPr>
          <w:sz w:val="24"/>
          <w:szCs w:val="24"/>
        </w:rPr>
        <w:t>dotyczące</w:t>
      </w:r>
      <w:r w:rsidR="003A32BD" w:rsidRPr="002F7D5A">
        <w:rPr>
          <w:sz w:val="24"/>
          <w:szCs w:val="24"/>
        </w:rPr>
        <w:t xml:space="preserve"> postanowień odnoszących się do</w:t>
      </w:r>
      <w:r w:rsidRPr="002F7D5A">
        <w:rPr>
          <w:sz w:val="24"/>
          <w:szCs w:val="24"/>
        </w:rPr>
        <w:t xml:space="preserve"> praw człowieka </w:t>
      </w:r>
      <w:r w:rsidR="003A32BD" w:rsidRPr="002F7D5A">
        <w:rPr>
          <w:sz w:val="24"/>
          <w:szCs w:val="24"/>
        </w:rPr>
        <w:t>zawartych</w:t>
      </w:r>
      <w:r w:rsidRPr="002F7D5A">
        <w:rPr>
          <w:sz w:val="24"/>
          <w:szCs w:val="24"/>
        </w:rPr>
        <w:t xml:space="preserve"> </w:t>
      </w:r>
      <w:r w:rsidR="003A32BD" w:rsidRPr="002F7D5A">
        <w:rPr>
          <w:sz w:val="24"/>
          <w:szCs w:val="24"/>
        </w:rPr>
        <w:t>w</w:t>
      </w:r>
      <w:r w:rsidRPr="002F7D5A">
        <w:rPr>
          <w:sz w:val="24"/>
          <w:szCs w:val="24"/>
        </w:rPr>
        <w:t xml:space="preserve"> </w:t>
      </w:r>
      <w:r w:rsidR="003A32BD" w:rsidRPr="002F7D5A">
        <w:rPr>
          <w:sz w:val="24"/>
          <w:szCs w:val="24"/>
        </w:rPr>
        <w:t xml:space="preserve">stosownych </w:t>
      </w:r>
      <w:r w:rsidRPr="002F7D5A">
        <w:rPr>
          <w:sz w:val="24"/>
          <w:szCs w:val="24"/>
        </w:rPr>
        <w:t>międzynarodowych i regionalnych</w:t>
      </w:r>
      <w:r w:rsidR="003A32BD" w:rsidRPr="002F7D5A">
        <w:rPr>
          <w:sz w:val="24"/>
          <w:szCs w:val="24"/>
        </w:rPr>
        <w:t xml:space="preserve"> konwencjach</w:t>
      </w:r>
      <w:r w:rsidRPr="002F7D5A">
        <w:rPr>
          <w:sz w:val="24"/>
          <w:szCs w:val="24"/>
        </w:rPr>
        <w:t>.</w:t>
      </w:r>
    </w:p>
    <w:p w:rsidR="009B62F9" w:rsidRPr="002F7D5A" w:rsidRDefault="00C26197" w:rsidP="00E7396B">
      <w:pPr>
        <w:pStyle w:val="Akapitzlist"/>
        <w:numPr>
          <w:ilvl w:val="0"/>
          <w:numId w:val="5"/>
        </w:numPr>
        <w:spacing w:before="120" w:after="120" w:line="240" w:lineRule="auto"/>
        <w:ind w:left="924" w:hanging="357"/>
        <w:contextualSpacing w:val="0"/>
        <w:jc w:val="both"/>
        <w:rPr>
          <w:sz w:val="24"/>
          <w:szCs w:val="24"/>
        </w:rPr>
      </w:pPr>
      <w:r w:rsidRPr="002F7D5A">
        <w:rPr>
          <w:sz w:val="24"/>
          <w:szCs w:val="24"/>
        </w:rPr>
        <w:t xml:space="preserve">Państw członkowskie, oprócz </w:t>
      </w:r>
      <w:r w:rsidR="00BA45BC" w:rsidRPr="002F7D5A">
        <w:rPr>
          <w:sz w:val="24"/>
          <w:szCs w:val="24"/>
        </w:rPr>
        <w:t>implementacji</w:t>
      </w:r>
      <w:r w:rsidRPr="002F7D5A">
        <w:rPr>
          <w:sz w:val="24"/>
          <w:szCs w:val="24"/>
        </w:rPr>
        <w:t xml:space="preserve"> Wytycznych ONZ </w:t>
      </w:r>
      <w:r w:rsidR="00BA45BC" w:rsidRPr="002F7D5A">
        <w:rPr>
          <w:sz w:val="24"/>
          <w:szCs w:val="24"/>
        </w:rPr>
        <w:t>dotyczących</w:t>
      </w:r>
      <w:r w:rsidRPr="002F7D5A">
        <w:rPr>
          <w:sz w:val="24"/>
          <w:szCs w:val="24"/>
        </w:rPr>
        <w:t xml:space="preserve"> biznesu i praw człowieka, powinny jasno</w:t>
      </w:r>
      <w:r w:rsidR="00BA45BC" w:rsidRPr="002F7D5A">
        <w:rPr>
          <w:sz w:val="24"/>
          <w:szCs w:val="24"/>
        </w:rPr>
        <w:t xml:space="preserve"> przedstawić swoje </w:t>
      </w:r>
      <w:r w:rsidRPr="002F7D5A">
        <w:rPr>
          <w:sz w:val="24"/>
          <w:szCs w:val="24"/>
        </w:rPr>
        <w:t>oczekiwanie, że wszystkie przedsiębiors</w:t>
      </w:r>
      <w:r w:rsidR="00BA45BC" w:rsidRPr="002F7D5A">
        <w:rPr>
          <w:sz w:val="24"/>
          <w:szCs w:val="24"/>
        </w:rPr>
        <w:t>twa mające swoją siedzibę lub</w:t>
      </w:r>
      <w:r w:rsidRPr="002F7D5A">
        <w:rPr>
          <w:sz w:val="24"/>
          <w:szCs w:val="24"/>
        </w:rPr>
        <w:t xml:space="preserve"> </w:t>
      </w:r>
      <w:r w:rsidR="009B62F9" w:rsidRPr="002F7D5A">
        <w:rPr>
          <w:sz w:val="24"/>
          <w:szCs w:val="24"/>
        </w:rPr>
        <w:t>prowadzą</w:t>
      </w:r>
      <w:r w:rsidR="00BA45BC" w:rsidRPr="002F7D5A">
        <w:rPr>
          <w:sz w:val="24"/>
          <w:szCs w:val="24"/>
        </w:rPr>
        <w:t>ce</w:t>
      </w:r>
      <w:r w:rsidRPr="002F7D5A">
        <w:rPr>
          <w:sz w:val="24"/>
          <w:szCs w:val="24"/>
        </w:rPr>
        <w:t xml:space="preserve"> działalność </w:t>
      </w:r>
      <w:r w:rsidR="00BA45BC" w:rsidRPr="002F7D5A">
        <w:rPr>
          <w:sz w:val="24"/>
          <w:szCs w:val="24"/>
        </w:rPr>
        <w:t>na obszarze objętym ich jurysdykcją</w:t>
      </w:r>
      <w:r w:rsidRPr="002F7D5A">
        <w:rPr>
          <w:sz w:val="24"/>
          <w:szCs w:val="24"/>
        </w:rPr>
        <w:t xml:space="preserve"> powinny podobnie </w:t>
      </w:r>
      <w:r w:rsidR="00BA45BC" w:rsidRPr="002F7D5A">
        <w:rPr>
          <w:sz w:val="24"/>
          <w:szCs w:val="24"/>
        </w:rPr>
        <w:t>realizować</w:t>
      </w:r>
      <w:r w:rsidRPr="002F7D5A">
        <w:rPr>
          <w:sz w:val="24"/>
          <w:szCs w:val="24"/>
        </w:rPr>
        <w:t xml:space="preserve"> powyższe Wytyczne </w:t>
      </w:r>
      <w:r w:rsidR="009B62F9" w:rsidRPr="002F7D5A">
        <w:rPr>
          <w:sz w:val="24"/>
          <w:szCs w:val="24"/>
        </w:rPr>
        <w:t>we wszystkich swoich działaniach.</w:t>
      </w:r>
    </w:p>
    <w:p w:rsidR="003A32BD" w:rsidRPr="002F7D5A" w:rsidRDefault="009B62F9" w:rsidP="00E7396B">
      <w:pPr>
        <w:pStyle w:val="Akapitzlist"/>
        <w:numPr>
          <w:ilvl w:val="0"/>
          <w:numId w:val="5"/>
        </w:numPr>
        <w:spacing w:before="120" w:after="120" w:line="240" w:lineRule="auto"/>
        <w:ind w:left="924" w:hanging="357"/>
        <w:contextualSpacing w:val="0"/>
        <w:jc w:val="both"/>
        <w:rPr>
          <w:sz w:val="24"/>
          <w:szCs w:val="24"/>
        </w:rPr>
      </w:pPr>
      <w:r w:rsidRPr="002F7D5A">
        <w:rPr>
          <w:sz w:val="24"/>
          <w:szCs w:val="24"/>
        </w:rPr>
        <w:t>W razie potrzeby, państwa członkowskie powinny wspierać t</w:t>
      </w:r>
      <w:r w:rsidR="00BA45BC" w:rsidRPr="002F7D5A">
        <w:rPr>
          <w:sz w:val="24"/>
          <w:szCs w:val="24"/>
        </w:rPr>
        <w:t xml:space="preserve">łumaczenie i </w:t>
      </w:r>
      <w:r w:rsidR="004018B6" w:rsidRPr="002F7D5A">
        <w:rPr>
          <w:sz w:val="24"/>
          <w:szCs w:val="24"/>
        </w:rPr>
        <w:t>rozpowszechnianie W</w:t>
      </w:r>
      <w:r w:rsidRPr="002F7D5A">
        <w:rPr>
          <w:sz w:val="24"/>
          <w:szCs w:val="24"/>
        </w:rPr>
        <w:t xml:space="preserve">ytycznych ONZ, </w:t>
      </w:r>
      <w:r w:rsidR="004018B6" w:rsidRPr="002F7D5A">
        <w:rPr>
          <w:sz w:val="24"/>
          <w:szCs w:val="24"/>
        </w:rPr>
        <w:t xml:space="preserve">w szczególności </w:t>
      </w:r>
      <w:r w:rsidRPr="002F7D5A">
        <w:rPr>
          <w:sz w:val="24"/>
          <w:szCs w:val="24"/>
        </w:rPr>
        <w:t xml:space="preserve">w określonych </w:t>
      </w:r>
      <w:r w:rsidR="00BA45BC" w:rsidRPr="002F7D5A">
        <w:rPr>
          <w:sz w:val="24"/>
          <w:szCs w:val="24"/>
        </w:rPr>
        <w:t>branżach</w:t>
      </w:r>
      <w:r w:rsidRPr="002F7D5A">
        <w:rPr>
          <w:sz w:val="24"/>
          <w:szCs w:val="24"/>
        </w:rPr>
        <w:t xml:space="preserve"> lub w odniesieniu do niektórych rodzajów przedsiębiorstw, w których świadomość nie jest jeszcze wystarczająco </w:t>
      </w:r>
      <w:r w:rsidR="004045B8" w:rsidRPr="002F7D5A">
        <w:rPr>
          <w:sz w:val="24"/>
          <w:szCs w:val="24"/>
        </w:rPr>
        <w:t>wysoka</w:t>
      </w:r>
      <w:r w:rsidRPr="002F7D5A">
        <w:rPr>
          <w:sz w:val="24"/>
          <w:szCs w:val="24"/>
        </w:rPr>
        <w:t xml:space="preserve">, lub w odniesieniu do których ryzyko </w:t>
      </w:r>
      <w:r w:rsidR="00BA45BC" w:rsidRPr="002F7D5A">
        <w:rPr>
          <w:sz w:val="24"/>
          <w:szCs w:val="24"/>
        </w:rPr>
        <w:t>wystąpienia naruszeń</w:t>
      </w:r>
      <w:r w:rsidRPr="002F7D5A">
        <w:rPr>
          <w:sz w:val="24"/>
          <w:szCs w:val="24"/>
        </w:rPr>
        <w:t xml:space="preserve"> praw człowieka jest wysoki</w:t>
      </w:r>
      <w:r w:rsidR="004018B6" w:rsidRPr="002F7D5A">
        <w:rPr>
          <w:sz w:val="24"/>
          <w:szCs w:val="24"/>
        </w:rPr>
        <w:t>e.</w:t>
      </w:r>
    </w:p>
    <w:p w:rsidR="004045B8" w:rsidRPr="002F7D5A" w:rsidRDefault="004045B8" w:rsidP="00E7396B">
      <w:pPr>
        <w:pStyle w:val="Akapitzlist"/>
        <w:numPr>
          <w:ilvl w:val="0"/>
          <w:numId w:val="5"/>
        </w:numPr>
        <w:spacing w:before="120" w:after="120" w:line="240" w:lineRule="auto"/>
        <w:ind w:left="924" w:hanging="357"/>
        <w:contextualSpacing w:val="0"/>
        <w:jc w:val="both"/>
        <w:rPr>
          <w:sz w:val="24"/>
          <w:szCs w:val="24"/>
        </w:rPr>
      </w:pPr>
      <w:r w:rsidRPr="002F7D5A">
        <w:rPr>
          <w:sz w:val="24"/>
          <w:szCs w:val="24"/>
        </w:rPr>
        <w:t xml:space="preserve">Państwa członkowskie powinny zachęcać państwa trzecie do </w:t>
      </w:r>
      <w:r w:rsidR="00F41D89" w:rsidRPr="002F7D5A">
        <w:rPr>
          <w:sz w:val="24"/>
          <w:szCs w:val="24"/>
        </w:rPr>
        <w:t xml:space="preserve">implementacji </w:t>
      </w:r>
      <w:r w:rsidR="00BA45BC" w:rsidRPr="002F7D5A">
        <w:rPr>
          <w:sz w:val="24"/>
          <w:szCs w:val="24"/>
        </w:rPr>
        <w:t>W</w:t>
      </w:r>
      <w:r w:rsidRPr="002F7D5A">
        <w:rPr>
          <w:sz w:val="24"/>
          <w:szCs w:val="24"/>
        </w:rPr>
        <w:t xml:space="preserve">ytycznych ONZ </w:t>
      </w:r>
      <w:r w:rsidR="00BA45BC" w:rsidRPr="002F7D5A">
        <w:rPr>
          <w:sz w:val="24"/>
          <w:szCs w:val="24"/>
        </w:rPr>
        <w:t>dotycząc</w:t>
      </w:r>
      <w:r w:rsidR="00655F13">
        <w:rPr>
          <w:sz w:val="24"/>
          <w:szCs w:val="24"/>
        </w:rPr>
        <w:t>ych</w:t>
      </w:r>
      <w:r w:rsidRPr="002F7D5A">
        <w:rPr>
          <w:sz w:val="24"/>
          <w:szCs w:val="24"/>
        </w:rPr>
        <w:t xml:space="preserve"> biznesu i praw człowieka i innych odpowiednich standardów międzynarodowych. Państwa członkowskie powinny również rozważyć </w:t>
      </w:r>
      <w:r w:rsidR="00A37EF7">
        <w:rPr>
          <w:sz w:val="24"/>
          <w:szCs w:val="24"/>
        </w:rPr>
        <w:t xml:space="preserve">nawiązanie </w:t>
      </w:r>
      <w:r w:rsidRPr="002F7D5A">
        <w:rPr>
          <w:sz w:val="24"/>
          <w:szCs w:val="24"/>
        </w:rPr>
        <w:t>partnerstwa lub zaoferować inne formy wsparcia kraj</w:t>
      </w:r>
      <w:r w:rsidR="00860C5B">
        <w:rPr>
          <w:sz w:val="24"/>
          <w:szCs w:val="24"/>
        </w:rPr>
        <w:t>om</w:t>
      </w:r>
      <w:r w:rsidRPr="002F7D5A">
        <w:rPr>
          <w:sz w:val="24"/>
          <w:szCs w:val="24"/>
        </w:rPr>
        <w:t xml:space="preserve"> </w:t>
      </w:r>
      <w:r w:rsidR="00F41D89" w:rsidRPr="002F7D5A">
        <w:rPr>
          <w:sz w:val="24"/>
          <w:szCs w:val="24"/>
        </w:rPr>
        <w:t>dążący</w:t>
      </w:r>
      <w:r w:rsidR="00860C5B">
        <w:rPr>
          <w:sz w:val="24"/>
          <w:szCs w:val="24"/>
        </w:rPr>
        <w:t>m</w:t>
      </w:r>
      <w:r w:rsidRPr="002F7D5A">
        <w:rPr>
          <w:sz w:val="24"/>
          <w:szCs w:val="24"/>
        </w:rPr>
        <w:t xml:space="preserve"> do wdrożenia tych standardów.</w:t>
      </w:r>
    </w:p>
    <w:p w:rsidR="00F41D89" w:rsidRPr="002F7D5A" w:rsidRDefault="00F41D89" w:rsidP="00E7396B">
      <w:pPr>
        <w:pStyle w:val="Akapitzlist"/>
        <w:numPr>
          <w:ilvl w:val="0"/>
          <w:numId w:val="5"/>
        </w:numPr>
        <w:spacing w:before="120" w:after="120" w:line="240" w:lineRule="auto"/>
        <w:contextualSpacing w:val="0"/>
        <w:jc w:val="both"/>
        <w:rPr>
          <w:sz w:val="24"/>
          <w:szCs w:val="24"/>
        </w:rPr>
      </w:pPr>
      <w:r w:rsidRPr="002F7D5A">
        <w:rPr>
          <w:sz w:val="24"/>
          <w:szCs w:val="24"/>
        </w:rPr>
        <w:t xml:space="preserve">Państwa członkowskie powinny oferować porady i wsparcie dla krajów trzecich, które chcą wzmocnić, zgodnie z Wytycznymi ONZ </w:t>
      </w:r>
      <w:r w:rsidR="00F758EA" w:rsidRPr="002F7D5A">
        <w:rPr>
          <w:sz w:val="24"/>
          <w:szCs w:val="24"/>
        </w:rPr>
        <w:t>dotyczącymi</w:t>
      </w:r>
      <w:r w:rsidRPr="002F7D5A">
        <w:rPr>
          <w:sz w:val="24"/>
          <w:szCs w:val="24"/>
        </w:rPr>
        <w:t xml:space="preserve"> biznesu i praw człowieka, </w:t>
      </w:r>
      <w:r w:rsidR="00400C16" w:rsidRPr="002F7D5A">
        <w:rPr>
          <w:sz w:val="24"/>
          <w:szCs w:val="24"/>
        </w:rPr>
        <w:t xml:space="preserve">ich </w:t>
      </w:r>
      <w:r w:rsidRPr="002F7D5A">
        <w:rPr>
          <w:sz w:val="24"/>
          <w:szCs w:val="24"/>
        </w:rPr>
        <w:t xml:space="preserve">sądowe i pozasądowe mechanizmy </w:t>
      </w:r>
      <w:r w:rsidR="00A37EF7">
        <w:rPr>
          <w:sz w:val="24"/>
          <w:szCs w:val="24"/>
        </w:rPr>
        <w:t xml:space="preserve">dotyczące rozpatrywania </w:t>
      </w:r>
      <w:r w:rsidRPr="002F7D5A">
        <w:rPr>
          <w:sz w:val="24"/>
          <w:szCs w:val="24"/>
        </w:rPr>
        <w:t>skarg oraz zmniejszyć bariery w dostępie do środków zaradczych</w:t>
      </w:r>
      <w:r w:rsidR="00F758EA" w:rsidRPr="002F7D5A">
        <w:rPr>
          <w:sz w:val="24"/>
          <w:szCs w:val="24"/>
        </w:rPr>
        <w:t xml:space="preserve"> </w:t>
      </w:r>
      <w:r w:rsidRPr="002F7D5A">
        <w:rPr>
          <w:sz w:val="24"/>
          <w:szCs w:val="24"/>
        </w:rPr>
        <w:t xml:space="preserve">przeciwko </w:t>
      </w:r>
      <w:r w:rsidR="00F758EA" w:rsidRPr="002F7D5A">
        <w:rPr>
          <w:sz w:val="24"/>
          <w:szCs w:val="24"/>
        </w:rPr>
        <w:t>naruszeniom</w:t>
      </w:r>
      <w:r w:rsidRPr="002F7D5A">
        <w:rPr>
          <w:sz w:val="24"/>
          <w:szCs w:val="24"/>
        </w:rPr>
        <w:t xml:space="preserve"> praw człowieka w biznesie w</w:t>
      </w:r>
      <w:r w:rsidR="006C5B27" w:rsidRPr="002F7D5A">
        <w:rPr>
          <w:sz w:val="24"/>
          <w:szCs w:val="24"/>
        </w:rPr>
        <w:t xml:space="preserve"> obrębie</w:t>
      </w:r>
      <w:r w:rsidRPr="002F7D5A">
        <w:rPr>
          <w:sz w:val="24"/>
          <w:szCs w:val="24"/>
        </w:rPr>
        <w:t xml:space="preserve"> ich jurysdykcji.</w:t>
      </w:r>
    </w:p>
    <w:p w:rsidR="00400C16" w:rsidRPr="002F7D5A" w:rsidRDefault="00400C16" w:rsidP="00E7396B">
      <w:pPr>
        <w:pStyle w:val="Akapitzlist"/>
        <w:numPr>
          <w:ilvl w:val="0"/>
          <w:numId w:val="5"/>
        </w:numPr>
        <w:spacing w:before="120" w:after="120" w:line="240" w:lineRule="auto"/>
        <w:contextualSpacing w:val="0"/>
        <w:jc w:val="both"/>
        <w:rPr>
          <w:sz w:val="24"/>
          <w:szCs w:val="24"/>
        </w:rPr>
      </w:pPr>
      <w:r w:rsidRPr="002F7D5A">
        <w:rPr>
          <w:sz w:val="24"/>
          <w:szCs w:val="24"/>
        </w:rPr>
        <w:t xml:space="preserve">Państwa członkowskie powinny wspierać </w:t>
      </w:r>
      <w:r w:rsidR="004E6786">
        <w:rPr>
          <w:sz w:val="24"/>
          <w:szCs w:val="24"/>
        </w:rPr>
        <w:t>działania</w:t>
      </w:r>
      <w:r w:rsidR="004E6786" w:rsidRPr="002F7D5A">
        <w:rPr>
          <w:sz w:val="24"/>
          <w:szCs w:val="24"/>
        </w:rPr>
        <w:t xml:space="preserve"> </w:t>
      </w:r>
      <w:r w:rsidR="00F758EA" w:rsidRPr="002F7D5A">
        <w:rPr>
          <w:sz w:val="24"/>
          <w:szCs w:val="24"/>
        </w:rPr>
        <w:t xml:space="preserve">ONZ, </w:t>
      </w:r>
      <w:r w:rsidR="00477037" w:rsidRPr="002F7D5A">
        <w:rPr>
          <w:sz w:val="24"/>
          <w:szCs w:val="24"/>
        </w:rPr>
        <w:t>w tym</w:t>
      </w:r>
      <w:r w:rsidR="00F758EA" w:rsidRPr="002F7D5A">
        <w:rPr>
          <w:sz w:val="24"/>
          <w:szCs w:val="24"/>
        </w:rPr>
        <w:t xml:space="preserve"> Grup</w:t>
      </w:r>
      <w:r w:rsidR="004E6786">
        <w:rPr>
          <w:sz w:val="24"/>
          <w:szCs w:val="24"/>
        </w:rPr>
        <w:t>y</w:t>
      </w:r>
      <w:r w:rsidR="00F758EA" w:rsidRPr="002F7D5A">
        <w:rPr>
          <w:sz w:val="24"/>
          <w:szCs w:val="24"/>
        </w:rPr>
        <w:t xml:space="preserve"> Robocz</w:t>
      </w:r>
      <w:r w:rsidR="004E6786">
        <w:rPr>
          <w:sz w:val="24"/>
          <w:szCs w:val="24"/>
        </w:rPr>
        <w:t>ej</w:t>
      </w:r>
      <w:r w:rsidR="00F758EA" w:rsidRPr="002F7D5A">
        <w:rPr>
          <w:sz w:val="24"/>
          <w:szCs w:val="24"/>
        </w:rPr>
        <w:t xml:space="preserve"> ONZ ds. Biznesu i Praw C</w:t>
      </w:r>
      <w:r w:rsidRPr="002F7D5A">
        <w:rPr>
          <w:sz w:val="24"/>
          <w:szCs w:val="24"/>
        </w:rPr>
        <w:t xml:space="preserve">złowieka, w celu promowania skutecznego i </w:t>
      </w:r>
      <w:r w:rsidR="004E6786">
        <w:rPr>
          <w:sz w:val="24"/>
          <w:szCs w:val="24"/>
        </w:rPr>
        <w:t>kompleksowego</w:t>
      </w:r>
      <w:r w:rsidR="004E6786" w:rsidRPr="002F7D5A">
        <w:rPr>
          <w:sz w:val="24"/>
          <w:szCs w:val="24"/>
        </w:rPr>
        <w:t xml:space="preserve"> </w:t>
      </w:r>
      <w:r w:rsidRPr="002F7D5A">
        <w:rPr>
          <w:sz w:val="24"/>
          <w:szCs w:val="24"/>
        </w:rPr>
        <w:t xml:space="preserve">rozpowszechniania i wdrażania Wytycznych ONZ </w:t>
      </w:r>
      <w:r w:rsidR="00F758EA" w:rsidRPr="002F7D5A">
        <w:rPr>
          <w:sz w:val="24"/>
          <w:szCs w:val="24"/>
        </w:rPr>
        <w:t>dotyczących</w:t>
      </w:r>
      <w:r w:rsidRPr="002F7D5A">
        <w:rPr>
          <w:sz w:val="24"/>
          <w:szCs w:val="24"/>
        </w:rPr>
        <w:t xml:space="preserve"> biznesu i praw człowieka.</w:t>
      </w:r>
    </w:p>
    <w:p w:rsidR="00400C16" w:rsidRPr="002F7D5A" w:rsidRDefault="00400C16" w:rsidP="00E7396B">
      <w:pPr>
        <w:pStyle w:val="Akapitzlist"/>
        <w:spacing w:before="120" w:after="120" w:line="240" w:lineRule="auto"/>
        <w:ind w:left="927"/>
        <w:contextualSpacing w:val="0"/>
        <w:jc w:val="both"/>
        <w:rPr>
          <w:sz w:val="24"/>
          <w:szCs w:val="24"/>
        </w:rPr>
      </w:pPr>
    </w:p>
    <w:p w:rsidR="00BF4DB3" w:rsidRPr="002F7D5A" w:rsidRDefault="00400C16" w:rsidP="00E7396B">
      <w:pPr>
        <w:pStyle w:val="Akapitzlist"/>
        <w:numPr>
          <w:ilvl w:val="0"/>
          <w:numId w:val="4"/>
        </w:numPr>
        <w:spacing w:before="120" w:after="120" w:line="240" w:lineRule="auto"/>
        <w:contextualSpacing w:val="0"/>
        <w:jc w:val="both"/>
        <w:rPr>
          <w:b/>
          <w:sz w:val="24"/>
          <w:szCs w:val="24"/>
        </w:rPr>
      </w:pPr>
      <w:r w:rsidRPr="002F7D5A">
        <w:rPr>
          <w:b/>
          <w:sz w:val="24"/>
          <w:szCs w:val="24"/>
        </w:rPr>
        <w:t xml:space="preserve"> Krajowe Plany Działania</w:t>
      </w:r>
    </w:p>
    <w:p w:rsidR="00400C16" w:rsidRPr="002F7D5A" w:rsidRDefault="009D087D" w:rsidP="00E7396B">
      <w:pPr>
        <w:pStyle w:val="Akapitzlist"/>
        <w:numPr>
          <w:ilvl w:val="0"/>
          <w:numId w:val="5"/>
        </w:numPr>
        <w:spacing w:before="120" w:after="120" w:line="240" w:lineRule="auto"/>
        <w:contextualSpacing w:val="0"/>
        <w:jc w:val="both"/>
        <w:rPr>
          <w:sz w:val="24"/>
          <w:szCs w:val="24"/>
        </w:rPr>
      </w:pPr>
      <w:r w:rsidRPr="002F7D5A">
        <w:rPr>
          <w:sz w:val="24"/>
          <w:szCs w:val="24"/>
        </w:rPr>
        <w:t>P</w:t>
      </w:r>
      <w:r w:rsidR="00400C16" w:rsidRPr="002F7D5A">
        <w:rPr>
          <w:sz w:val="24"/>
          <w:szCs w:val="24"/>
        </w:rPr>
        <w:t>aństwa członkowskie</w:t>
      </w:r>
      <w:r w:rsidRPr="002F7D5A">
        <w:rPr>
          <w:sz w:val="24"/>
          <w:szCs w:val="24"/>
        </w:rPr>
        <w:t>,</w:t>
      </w:r>
      <w:r w:rsidR="00400C16" w:rsidRPr="002F7D5A">
        <w:rPr>
          <w:sz w:val="24"/>
          <w:szCs w:val="24"/>
        </w:rPr>
        <w:t xml:space="preserve"> </w:t>
      </w:r>
      <w:r w:rsidRPr="002F7D5A">
        <w:rPr>
          <w:sz w:val="24"/>
          <w:szCs w:val="24"/>
        </w:rPr>
        <w:t xml:space="preserve">jeśli jeszcze tego nie uczyniły, </w:t>
      </w:r>
      <w:r w:rsidR="00400C16" w:rsidRPr="002F7D5A">
        <w:rPr>
          <w:sz w:val="24"/>
          <w:szCs w:val="24"/>
        </w:rPr>
        <w:t>powi</w:t>
      </w:r>
      <w:r w:rsidRPr="002F7D5A">
        <w:rPr>
          <w:sz w:val="24"/>
          <w:szCs w:val="24"/>
        </w:rPr>
        <w:t>nny opracować i przyjąć plany dotyczące krajowej</w:t>
      </w:r>
      <w:r w:rsidR="00400C16" w:rsidRPr="002F7D5A">
        <w:rPr>
          <w:sz w:val="24"/>
          <w:szCs w:val="24"/>
        </w:rPr>
        <w:t xml:space="preserve"> </w:t>
      </w:r>
      <w:r w:rsidRPr="002F7D5A">
        <w:rPr>
          <w:sz w:val="24"/>
          <w:szCs w:val="24"/>
        </w:rPr>
        <w:t>implementacji W</w:t>
      </w:r>
      <w:r w:rsidR="00400C16" w:rsidRPr="002F7D5A">
        <w:rPr>
          <w:sz w:val="24"/>
          <w:szCs w:val="24"/>
        </w:rPr>
        <w:t xml:space="preserve">ytycznych ONZ </w:t>
      </w:r>
      <w:r w:rsidR="004E6786">
        <w:rPr>
          <w:sz w:val="24"/>
          <w:szCs w:val="24"/>
        </w:rPr>
        <w:t xml:space="preserve">dotyczących </w:t>
      </w:r>
      <w:r w:rsidR="00B876B3" w:rsidRPr="002F7D5A">
        <w:rPr>
          <w:sz w:val="24"/>
          <w:szCs w:val="24"/>
        </w:rPr>
        <w:t>biznesu i praw człowieka ("Krajowe Plany D</w:t>
      </w:r>
      <w:r w:rsidR="00400C16" w:rsidRPr="002F7D5A">
        <w:rPr>
          <w:sz w:val="24"/>
          <w:szCs w:val="24"/>
        </w:rPr>
        <w:t xml:space="preserve">ziałania"), które uwzględniają wszystkie trzy filary </w:t>
      </w:r>
      <w:r w:rsidRPr="002F7D5A">
        <w:rPr>
          <w:sz w:val="24"/>
          <w:szCs w:val="24"/>
        </w:rPr>
        <w:lastRenderedPageBreak/>
        <w:t>Wytycznych ONZ</w:t>
      </w:r>
      <w:r w:rsidR="00400C16" w:rsidRPr="002F7D5A">
        <w:rPr>
          <w:sz w:val="24"/>
          <w:szCs w:val="24"/>
        </w:rPr>
        <w:t xml:space="preserve"> i </w:t>
      </w:r>
      <w:r w:rsidR="00B876B3" w:rsidRPr="002F7D5A">
        <w:rPr>
          <w:sz w:val="24"/>
          <w:szCs w:val="24"/>
        </w:rPr>
        <w:t>niniejsz</w:t>
      </w:r>
      <w:r w:rsidR="005139CD">
        <w:rPr>
          <w:sz w:val="24"/>
          <w:szCs w:val="24"/>
        </w:rPr>
        <w:t>ą</w:t>
      </w:r>
      <w:r w:rsidR="00B876B3" w:rsidRPr="002F7D5A">
        <w:rPr>
          <w:sz w:val="24"/>
          <w:szCs w:val="24"/>
        </w:rPr>
        <w:t xml:space="preserve"> Rekomendacj</w:t>
      </w:r>
      <w:r w:rsidR="005139CD">
        <w:rPr>
          <w:sz w:val="24"/>
          <w:szCs w:val="24"/>
        </w:rPr>
        <w:t>ę</w:t>
      </w:r>
      <w:r w:rsidR="00400C16" w:rsidRPr="002F7D5A">
        <w:rPr>
          <w:sz w:val="24"/>
          <w:szCs w:val="24"/>
        </w:rPr>
        <w:t>. P</w:t>
      </w:r>
      <w:r w:rsidRPr="002F7D5A">
        <w:rPr>
          <w:sz w:val="24"/>
          <w:szCs w:val="24"/>
        </w:rPr>
        <w:t xml:space="preserve">aństwa członkowskie powinny </w:t>
      </w:r>
      <w:r w:rsidR="00400C16" w:rsidRPr="002F7D5A">
        <w:rPr>
          <w:sz w:val="24"/>
          <w:szCs w:val="24"/>
        </w:rPr>
        <w:t xml:space="preserve">zapewnić ich publikację i </w:t>
      </w:r>
      <w:r w:rsidRPr="002F7D5A">
        <w:rPr>
          <w:sz w:val="24"/>
          <w:szCs w:val="24"/>
        </w:rPr>
        <w:t>szeroką dystrybucję</w:t>
      </w:r>
      <w:r w:rsidR="00400C16" w:rsidRPr="002F7D5A">
        <w:rPr>
          <w:sz w:val="24"/>
          <w:szCs w:val="24"/>
        </w:rPr>
        <w:t>.</w:t>
      </w:r>
    </w:p>
    <w:p w:rsidR="009D087D" w:rsidRPr="002F7D5A" w:rsidRDefault="009D087D" w:rsidP="00E7396B">
      <w:pPr>
        <w:pStyle w:val="Akapitzlist"/>
        <w:numPr>
          <w:ilvl w:val="0"/>
          <w:numId w:val="5"/>
        </w:numPr>
        <w:spacing w:before="120" w:after="120" w:line="240" w:lineRule="auto"/>
        <w:contextualSpacing w:val="0"/>
        <w:jc w:val="both"/>
        <w:rPr>
          <w:sz w:val="24"/>
          <w:szCs w:val="24"/>
        </w:rPr>
      </w:pPr>
      <w:r w:rsidRPr="002F7D5A">
        <w:rPr>
          <w:sz w:val="24"/>
          <w:szCs w:val="24"/>
        </w:rPr>
        <w:t xml:space="preserve">W procesie opracowywania </w:t>
      </w:r>
      <w:r w:rsidR="00B876B3" w:rsidRPr="002F7D5A">
        <w:rPr>
          <w:sz w:val="24"/>
          <w:szCs w:val="24"/>
        </w:rPr>
        <w:t>Krajowych Planów D</w:t>
      </w:r>
      <w:r w:rsidRPr="002F7D5A">
        <w:rPr>
          <w:sz w:val="24"/>
          <w:szCs w:val="24"/>
        </w:rPr>
        <w:t xml:space="preserve">ziałania państwa członkowskie powinny </w:t>
      </w:r>
      <w:r w:rsidR="00B876B3" w:rsidRPr="002F7D5A">
        <w:rPr>
          <w:sz w:val="24"/>
          <w:szCs w:val="24"/>
        </w:rPr>
        <w:t>odwoływać się do dostępnego poradnictwa</w:t>
      </w:r>
      <w:r w:rsidRPr="002F7D5A">
        <w:rPr>
          <w:sz w:val="24"/>
          <w:szCs w:val="24"/>
        </w:rPr>
        <w:t xml:space="preserve">, w tym </w:t>
      </w:r>
      <w:r w:rsidR="00B876B3" w:rsidRPr="002F7D5A">
        <w:rPr>
          <w:sz w:val="24"/>
          <w:szCs w:val="24"/>
        </w:rPr>
        <w:t>wydanego</w:t>
      </w:r>
      <w:r w:rsidR="00EE303F" w:rsidRPr="002F7D5A">
        <w:rPr>
          <w:sz w:val="24"/>
          <w:szCs w:val="24"/>
        </w:rPr>
        <w:t xml:space="preserve"> </w:t>
      </w:r>
      <w:r w:rsidR="00B876B3" w:rsidRPr="002F7D5A">
        <w:rPr>
          <w:sz w:val="24"/>
          <w:szCs w:val="24"/>
        </w:rPr>
        <w:t xml:space="preserve">przez Grupę Roboczą </w:t>
      </w:r>
      <w:r w:rsidR="002F4E6F" w:rsidRPr="00A42E41">
        <w:rPr>
          <w:sz w:val="24"/>
          <w:szCs w:val="24"/>
        </w:rPr>
        <w:t xml:space="preserve">ONZ ds. </w:t>
      </w:r>
      <w:r w:rsidR="002F4E6F">
        <w:rPr>
          <w:sz w:val="24"/>
          <w:szCs w:val="24"/>
        </w:rPr>
        <w:t>B</w:t>
      </w:r>
      <w:r w:rsidR="002F4E6F" w:rsidRPr="00A42E41">
        <w:rPr>
          <w:sz w:val="24"/>
          <w:szCs w:val="24"/>
        </w:rPr>
        <w:t xml:space="preserve">iznesu i </w:t>
      </w:r>
      <w:r w:rsidR="002F4E6F">
        <w:rPr>
          <w:sz w:val="24"/>
          <w:szCs w:val="24"/>
        </w:rPr>
        <w:t>P</w:t>
      </w:r>
      <w:r w:rsidR="002F4E6F" w:rsidRPr="00A42E41">
        <w:rPr>
          <w:sz w:val="24"/>
          <w:szCs w:val="24"/>
        </w:rPr>
        <w:t xml:space="preserve">raw </w:t>
      </w:r>
      <w:r w:rsidR="002F4E6F">
        <w:rPr>
          <w:sz w:val="24"/>
          <w:szCs w:val="24"/>
        </w:rPr>
        <w:t>C</w:t>
      </w:r>
      <w:r w:rsidR="002F4E6F" w:rsidRPr="00A42E41">
        <w:rPr>
          <w:sz w:val="24"/>
          <w:szCs w:val="24"/>
        </w:rPr>
        <w:t>złowieka</w:t>
      </w:r>
      <w:r w:rsidR="00EE303F" w:rsidRPr="002F7D5A">
        <w:rPr>
          <w:sz w:val="24"/>
          <w:szCs w:val="24"/>
        </w:rPr>
        <w:t xml:space="preserve">, jak również zabiegać o ekspertyzy </w:t>
      </w:r>
      <w:r w:rsidRPr="002F7D5A">
        <w:rPr>
          <w:sz w:val="24"/>
          <w:szCs w:val="24"/>
        </w:rPr>
        <w:t>i zaangażowanie wszystkich zainteresowanych stron, w tym organizacji biznesowych i przedsiębiorstw</w:t>
      </w:r>
      <w:r w:rsidR="00EE303F" w:rsidRPr="002F7D5A">
        <w:rPr>
          <w:sz w:val="24"/>
          <w:szCs w:val="24"/>
        </w:rPr>
        <w:t>,</w:t>
      </w:r>
      <w:r w:rsidRPr="002F7D5A">
        <w:rPr>
          <w:sz w:val="24"/>
          <w:szCs w:val="24"/>
        </w:rPr>
        <w:t xml:space="preserve"> krajowych instytu</w:t>
      </w:r>
      <w:r w:rsidR="00EE303F" w:rsidRPr="002F7D5A">
        <w:rPr>
          <w:sz w:val="24"/>
          <w:szCs w:val="24"/>
        </w:rPr>
        <w:t>cji praw człowieka, związków zawodowych i organizacji pozarządowych</w:t>
      </w:r>
      <w:r w:rsidRPr="002F7D5A">
        <w:rPr>
          <w:sz w:val="24"/>
          <w:szCs w:val="24"/>
        </w:rPr>
        <w:t>.</w:t>
      </w:r>
    </w:p>
    <w:p w:rsidR="00EE303F" w:rsidRPr="002F7D5A" w:rsidRDefault="00BE5A15" w:rsidP="00E7396B">
      <w:pPr>
        <w:pStyle w:val="Akapitzlist"/>
        <w:numPr>
          <w:ilvl w:val="0"/>
          <w:numId w:val="5"/>
        </w:numPr>
        <w:spacing w:before="120" w:after="120" w:line="240" w:lineRule="auto"/>
        <w:contextualSpacing w:val="0"/>
        <w:jc w:val="both"/>
        <w:rPr>
          <w:sz w:val="24"/>
          <w:szCs w:val="24"/>
        </w:rPr>
      </w:pPr>
      <w:r w:rsidRPr="002F7D5A">
        <w:rPr>
          <w:sz w:val="24"/>
          <w:szCs w:val="24"/>
        </w:rPr>
        <w:t xml:space="preserve">Z udziałem wszystkich </w:t>
      </w:r>
      <w:r w:rsidR="00E063DD">
        <w:rPr>
          <w:sz w:val="24"/>
          <w:szCs w:val="24"/>
        </w:rPr>
        <w:t>zainteresowanych stron</w:t>
      </w:r>
      <w:r w:rsidRPr="002F7D5A">
        <w:rPr>
          <w:sz w:val="24"/>
          <w:szCs w:val="24"/>
        </w:rPr>
        <w:t>, państwa członkowskie powinny stale monitorować wdrażan</w:t>
      </w:r>
      <w:r w:rsidR="00B876B3" w:rsidRPr="002F7D5A">
        <w:rPr>
          <w:sz w:val="24"/>
          <w:szCs w:val="24"/>
        </w:rPr>
        <w:t>ie Krajowych Planów D</w:t>
      </w:r>
      <w:r w:rsidRPr="002F7D5A">
        <w:rPr>
          <w:sz w:val="24"/>
          <w:szCs w:val="24"/>
        </w:rPr>
        <w:t>ziałania</w:t>
      </w:r>
      <w:r w:rsidR="00D479F2">
        <w:rPr>
          <w:sz w:val="24"/>
          <w:szCs w:val="24"/>
        </w:rPr>
        <w:t xml:space="preserve"> oraz</w:t>
      </w:r>
      <w:r w:rsidRPr="002F7D5A">
        <w:rPr>
          <w:sz w:val="24"/>
          <w:szCs w:val="24"/>
        </w:rPr>
        <w:t xml:space="preserve"> okresowo je oceniać i aktualizować. Mając na uwadze, że odpowiedni model planu może być różny w zależności od państwa, państwa członkowskie powinny dzielić się miedzy sobą, krajami trzecimi i zainteresowanymi stronami najlepszymi praktykami w zakr</w:t>
      </w:r>
      <w:r w:rsidR="00B876B3" w:rsidRPr="002F7D5A">
        <w:rPr>
          <w:sz w:val="24"/>
          <w:szCs w:val="24"/>
        </w:rPr>
        <w:t>esie opracowywania i przeglądu Krajowych Planów D</w:t>
      </w:r>
      <w:r w:rsidRPr="002F7D5A">
        <w:rPr>
          <w:sz w:val="24"/>
          <w:szCs w:val="24"/>
        </w:rPr>
        <w:t>ziałania.</w:t>
      </w:r>
    </w:p>
    <w:p w:rsidR="00F24D7A" w:rsidRPr="002F7D5A" w:rsidRDefault="00F24D7A" w:rsidP="00E7396B">
      <w:pPr>
        <w:pStyle w:val="Akapitzlist"/>
        <w:spacing w:before="120" w:after="120" w:line="240" w:lineRule="auto"/>
        <w:ind w:left="927"/>
        <w:contextualSpacing w:val="0"/>
        <w:jc w:val="both"/>
        <w:rPr>
          <w:sz w:val="24"/>
          <w:szCs w:val="24"/>
        </w:rPr>
      </w:pPr>
    </w:p>
    <w:p w:rsidR="00D479F2" w:rsidRDefault="00D479F2" w:rsidP="00E7396B">
      <w:pPr>
        <w:pStyle w:val="Akapitzlist"/>
        <w:numPr>
          <w:ilvl w:val="0"/>
          <w:numId w:val="3"/>
        </w:numPr>
        <w:spacing w:before="120" w:after="120" w:line="240" w:lineRule="auto"/>
        <w:ind w:left="993" w:hanging="273"/>
        <w:contextualSpacing w:val="0"/>
        <w:jc w:val="both"/>
        <w:rPr>
          <w:b/>
          <w:sz w:val="24"/>
          <w:szCs w:val="24"/>
        </w:rPr>
      </w:pPr>
      <w:r w:rsidRPr="00D479F2">
        <w:rPr>
          <w:b/>
          <w:sz w:val="24"/>
          <w:szCs w:val="24"/>
        </w:rPr>
        <w:t>Obowiązek państwa ochrony praw człowieka</w:t>
      </w:r>
    </w:p>
    <w:p w:rsidR="00E7396B" w:rsidRDefault="00E7396B" w:rsidP="00E7396B">
      <w:pPr>
        <w:pStyle w:val="Akapitzlist"/>
        <w:spacing w:line="240" w:lineRule="auto"/>
        <w:ind w:left="1080"/>
        <w:jc w:val="both"/>
        <w:rPr>
          <w:b/>
          <w:sz w:val="24"/>
          <w:szCs w:val="24"/>
        </w:rPr>
      </w:pPr>
    </w:p>
    <w:p w:rsidR="00BE5A15" w:rsidRPr="002F7D5A" w:rsidRDefault="00BE5A15" w:rsidP="00E7396B">
      <w:pPr>
        <w:pStyle w:val="Akapitzlist"/>
        <w:numPr>
          <w:ilvl w:val="0"/>
          <w:numId w:val="5"/>
        </w:numPr>
        <w:spacing w:before="120" w:after="120" w:line="240" w:lineRule="auto"/>
        <w:contextualSpacing w:val="0"/>
        <w:jc w:val="both"/>
        <w:rPr>
          <w:sz w:val="24"/>
          <w:szCs w:val="24"/>
        </w:rPr>
      </w:pPr>
      <w:r w:rsidRPr="002F7D5A">
        <w:rPr>
          <w:sz w:val="24"/>
          <w:szCs w:val="24"/>
        </w:rPr>
        <w:t>Państwa członkowskie powinny:</w:t>
      </w:r>
    </w:p>
    <w:p w:rsidR="004147ED" w:rsidRPr="002F7D5A" w:rsidRDefault="00FF4261" w:rsidP="00E7396B">
      <w:pPr>
        <w:pStyle w:val="Akapitzlist"/>
        <w:numPr>
          <w:ilvl w:val="0"/>
          <w:numId w:val="7"/>
        </w:numPr>
        <w:spacing w:before="120" w:after="120" w:line="240" w:lineRule="auto"/>
        <w:contextualSpacing w:val="0"/>
        <w:jc w:val="both"/>
        <w:rPr>
          <w:sz w:val="24"/>
          <w:szCs w:val="24"/>
        </w:rPr>
      </w:pPr>
      <w:r>
        <w:rPr>
          <w:sz w:val="24"/>
          <w:szCs w:val="24"/>
        </w:rPr>
        <w:t>s</w:t>
      </w:r>
      <w:r w:rsidR="007B171F" w:rsidRPr="002F7D5A">
        <w:rPr>
          <w:sz w:val="24"/>
          <w:szCs w:val="24"/>
        </w:rPr>
        <w:t xml:space="preserve">tosować takie </w:t>
      </w:r>
      <w:r w:rsidR="00BC353D" w:rsidRPr="002F7D5A">
        <w:rPr>
          <w:sz w:val="24"/>
          <w:szCs w:val="24"/>
        </w:rPr>
        <w:t>środki, które mogą być konieczne</w:t>
      </w:r>
      <w:r w:rsidR="00896522" w:rsidRPr="002F7D5A">
        <w:rPr>
          <w:sz w:val="24"/>
          <w:szCs w:val="24"/>
        </w:rPr>
        <w:t>, aby wymóc na przedsiębiorstwach</w:t>
      </w:r>
      <w:r w:rsidR="00C83E4D" w:rsidRPr="002F7D5A">
        <w:rPr>
          <w:sz w:val="24"/>
          <w:szCs w:val="24"/>
        </w:rPr>
        <w:t xml:space="preserve">, </w:t>
      </w:r>
      <w:r w:rsidR="00896522" w:rsidRPr="002F7D5A">
        <w:rPr>
          <w:sz w:val="24"/>
          <w:szCs w:val="24"/>
        </w:rPr>
        <w:t xml:space="preserve">mających siedzibę na terytorium </w:t>
      </w:r>
      <w:r w:rsidR="00C83E4D" w:rsidRPr="002F7D5A">
        <w:rPr>
          <w:sz w:val="24"/>
          <w:szCs w:val="24"/>
        </w:rPr>
        <w:t>objętym</w:t>
      </w:r>
      <w:r w:rsidR="00896522" w:rsidRPr="002F7D5A">
        <w:rPr>
          <w:sz w:val="24"/>
          <w:szCs w:val="24"/>
        </w:rPr>
        <w:t xml:space="preserve"> ich</w:t>
      </w:r>
      <w:r w:rsidR="00C83E4D" w:rsidRPr="002F7D5A">
        <w:rPr>
          <w:sz w:val="24"/>
          <w:szCs w:val="24"/>
        </w:rPr>
        <w:t xml:space="preserve"> jurysdykcją,</w:t>
      </w:r>
      <w:r w:rsidR="004147ED" w:rsidRPr="002F7D5A">
        <w:rPr>
          <w:sz w:val="24"/>
          <w:szCs w:val="24"/>
        </w:rPr>
        <w:t xml:space="preserve"> </w:t>
      </w:r>
      <w:r w:rsidR="00C83E4D" w:rsidRPr="002F7D5A">
        <w:rPr>
          <w:sz w:val="24"/>
          <w:szCs w:val="24"/>
        </w:rPr>
        <w:t>poszanowanie</w:t>
      </w:r>
      <w:r w:rsidR="004147ED" w:rsidRPr="002F7D5A">
        <w:rPr>
          <w:sz w:val="24"/>
          <w:szCs w:val="24"/>
        </w:rPr>
        <w:t xml:space="preserve"> praw człowieka;</w:t>
      </w:r>
    </w:p>
    <w:p w:rsidR="00F33ECC" w:rsidRPr="002F7D5A" w:rsidRDefault="00FF4261" w:rsidP="00E7396B">
      <w:pPr>
        <w:pStyle w:val="Akapitzlist"/>
        <w:numPr>
          <w:ilvl w:val="0"/>
          <w:numId w:val="7"/>
        </w:numPr>
        <w:spacing w:before="120" w:after="120" w:line="240" w:lineRule="auto"/>
        <w:contextualSpacing w:val="0"/>
        <w:jc w:val="both"/>
        <w:rPr>
          <w:sz w:val="24"/>
          <w:szCs w:val="24"/>
        </w:rPr>
      </w:pPr>
      <w:r>
        <w:rPr>
          <w:sz w:val="24"/>
          <w:szCs w:val="24"/>
        </w:rPr>
        <w:t>s</w:t>
      </w:r>
      <w:r w:rsidR="004147ED" w:rsidRPr="002F7D5A">
        <w:rPr>
          <w:sz w:val="24"/>
          <w:szCs w:val="24"/>
        </w:rPr>
        <w:t>tosować takie środki, które</w:t>
      </w:r>
      <w:r w:rsidR="00ED7011" w:rsidRPr="002F7D5A">
        <w:rPr>
          <w:sz w:val="24"/>
          <w:szCs w:val="24"/>
        </w:rPr>
        <w:t xml:space="preserve"> mogą być konieczne</w:t>
      </w:r>
      <w:r w:rsidR="00C9516B" w:rsidRPr="002F7D5A">
        <w:rPr>
          <w:sz w:val="24"/>
          <w:szCs w:val="24"/>
        </w:rPr>
        <w:t>, aby</w:t>
      </w:r>
      <w:r w:rsidR="006C5B27" w:rsidRPr="002F7D5A">
        <w:rPr>
          <w:sz w:val="24"/>
          <w:szCs w:val="24"/>
        </w:rPr>
        <w:t>, w stosownych przypadkach,</w:t>
      </w:r>
      <w:r w:rsidR="00C9516B" w:rsidRPr="002F7D5A">
        <w:rPr>
          <w:sz w:val="24"/>
          <w:szCs w:val="24"/>
        </w:rPr>
        <w:t xml:space="preserve"> wymóc</w:t>
      </w:r>
      <w:r w:rsidR="00F33ECC" w:rsidRPr="002F7D5A">
        <w:rPr>
          <w:sz w:val="24"/>
          <w:szCs w:val="24"/>
        </w:rPr>
        <w:t xml:space="preserve"> </w:t>
      </w:r>
      <w:r w:rsidR="00C9516B" w:rsidRPr="002F7D5A">
        <w:rPr>
          <w:sz w:val="24"/>
          <w:szCs w:val="24"/>
        </w:rPr>
        <w:t xml:space="preserve">na przedsiębiorstwach mających siedzibę na terytorium </w:t>
      </w:r>
      <w:r w:rsidR="00C83E4D" w:rsidRPr="002F7D5A">
        <w:rPr>
          <w:sz w:val="24"/>
          <w:szCs w:val="24"/>
        </w:rPr>
        <w:t>objętym ich jurysdykcją poszanowanie</w:t>
      </w:r>
      <w:r w:rsidR="00F33ECC" w:rsidRPr="002F7D5A">
        <w:rPr>
          <w:sz w:val="24"/>
          <w:szCs w:val="24"/>
        </w:rPr>
        <w:t xml:space="preserve"> praw człowieka</w:t>
      </w:r>
      <w:r w:rsidR="006C5B27" w:rsidRPr="002F7D5A">
        <w:rPr>
          <w:sz w:val="24"/>
          <w:szCs w:val="24"/>
        </w:rPr>
        <w:t xml:space="preserve"> </w:t>
      </w:r>
      <w:r w:rsidR="00F33ECC" w:rsidRPr="002F7D5A">
        <w:rPr>
          <w:sz w:val="24"/>
          <w:szCs w:val="24"/>
        </w:rPr>
        <w:t>w całej ich działalności zagranicznej</w:t>
      </w:r>
      <w:r w:rsidR="00C9516B" w:rsidRPr="002F7D5A">
        <w:rPr>
          <w:sz w:val="24"/>
          <w:szCs w:val="24"/>
        </w:rPr>
        <w:t>;</w:t>
      </w:r>
      <w:r w:rsidR="004058FC" w:rsidRPr="002F7D5A">
        <w:rPr>
          <w:sz w:val="24"/>
          <w:szCs w:val="24"/>
        </w:rPr>
        <w:t xml:space="preserve"> </w:t>
      </w:r>
    </w:p>
    <w:p w:rsidR="00F76435" w:rsidRPr="002F7D5A" w:rsidRDefault="00FF4261" w:rsidP="00E7396B">
      <w:pPr>
        <w:pStyle w:val="Akapitzlist"/>
        <w:numPr>
          <w:ilvl w:val="0"/>
          <w:numId w:val="7"/>
        </w:numPr>
        <w:spacing w:before="120" w:after="120" w:line="240" w:lineRule="auto"/>
        <w:contextualSpacing w:val="0"/>
        <w:jc w:val="both"/>
        <w:rPr>
          <w:sz w:val="24"/>
          <w:szCs w:val="24"/>
        </w:rPr>
      </w:pPr>
      <w:r>
        <w:rPr>
          <w:sz w:val="24"/>
          <w:szCs w:val="24"/>
        </w:rPr>
        <w:t>z</w:t>
      </w:r>
      <w:r w:rsidR="00F33ECC" w:rsidRPr="002F7D5A">
        <w:rPr>
          <w:sz w:val="24"/>
          <w:szCs w:val="24"/>
        </w:rPr>
        <w:t xml:space="preserve">achęcać i wspierać powyższe przedsiębiorstwa wykorzystując inne środki, tak aby </w:t>
      </w:r>
      <w:r w:rsidR="00C83E4D" w:rsidRPr="002F7D5A">
        <w:rPr>
          <w:sz w:val="24"/>
          <w:szCs w:val="24"/>
        </w:rPr>
        <w:t>przestrzegały praw</w:t>
      </w:r>
      <w:r w:rsidR="00F33ECC" w:rsidRPr="002F7D5A">
        <w:rPr>
          <w:sz w:val="24"/>
          <w:szCs w:val="24"/>
        </w:rPr>
        <w:t xml:space="preserve"> człowieka we wszystkich obszarach ich działalności</w:t>
      </w:r>
      <w:r w:rsidR="00F76435" w:rsidRPr="002F7D5A">
        <w:rPr>
          <w:sz w:val="24"/>
          <w:szCs w:val="24"/>
        </w:rPr>
        <w:t>.</w:t>
      </w:r>
    </w:p>
    <w:p w:rsidR="005644D8" w:rsidRPr="002F7D5A" w:rsidRDefault="00F76435" w:rsidP="00E7396B">
      <w:pPr>
        <w:pStyle w:val="Akapitzlist"/>
        <w:numPr>
          <w:ilvl w:val="0"/>
          <w:numId w:val="5"/>
        </w:numPr>
        <w:spacing w:before="120" w:after="120" w:line="240" w:lineRule="auto"/>
        <w:contextualSpacing w:val="0"/>
        <w:jc w:val="both"/>
        <w:rPr>
          <w:sz w:val="24"/>
          <w:szCs w:val="24"/>
        </w:rPr>
      </w:pPr>
      <w:r w:rsidRPr="002F7D5A">
        <w:rPr>
          <w:sz w:val="24"/>
          <w:szCs w:val="24"/>
        </w:rPr>
        <w:t xml:space="preserve">Państwa członkowskie powinny zapewnić, że każdy </w:t>
      </w:r>
      <w:r w:rsidR="00A34373" w:rsidRPr="002F7D5A">
        <w:rPr>
          <w:sz w:val="24"/>
          <w:szCs w:val="24"/>
        </w:rPr>
        <w:t>w obrębie</w:t>
      </w:r>
      <w:r w:rsidRPr="002F7D5A">
        <w:rPr>
          <w:sz w:val="24"/>
          <w:szCs w:val="24"/>
        </w:rPr>
        <w:t xml:space="preserve"> ich jurysdykcji może mieć łatwy dostęp</w:t>
      </w:r>
      <w:r w:rsidR="005644D8" w:rsidRPr="002F7D5A">
        <w:rPr>
          <w:sz w:val="24"/>
          <w:szCs w:val="24"/>
        </w:rPr>
        <w:t xml:space="preserve"> </w:t>
      </w:r>
      <w:r w:rsidRPr="002F7D5A">
        <w:rPr>
          <w:sz w:val="24"/>
          <w:szCs w:val="24"/>
        </w:rPr>
        <w:t>do informacji nt. istniejących praw człowieka w kontekście odpowiedzialności biznesu w języku dla nich zrozumiałym.</w:t>
      </w:r>
    </w:p>
    <w:p w:rsidR="00F76435" w:rsidRPr="002F7D5A" w:rsidRDefault="00F76435" w:rsidP="00E7396B">
      <w:pPr>
        <w:pStyle w:val="Akapitzlist"/>
        <w:numPr>
          <w:ilvl w:val="0"/>
          <w:numId w:val="5"/>
        </w:numPr>
        <w:spacing w:before="120" w:after="120" w:line="240" w:lineRule="auto"/>
        <w:contextualSpacing w:val="0"/>
        <w:jc w:val="both"/>
        <w:rPr>
          <w:sz w:val="24"/>
          <w:szCs w:val="24"/>
        </w:rPr>
      </w:pPr>
      <w:r w:rsidRPr="002F7D5A">
        <w:rPr>
          <w:sz w:val="24"/>
          <w:szCs w:val="24"/>
        </w:rPr>
        <w:t>W ramach ich jurysdykcji państwa członkowskie</w:t>
      </w:r>
      <w:r w:rsidR="00216DB4" w:rsidRPr="002F7D5A">
        <w:rPr>
          <w:sz w:val="24"/>
          <w:szCs w:val="24"/>
        </w:rPr>
        <w:t xml:space="preserve"> mają obowiązek chronić jednostki przed naruszeniami praw człowieka przez strony trzecie, w tym przedsiębiorstwa. W zakres tego obowiązku wchodzą pozytywne i proceduralne zobowiązania państwa wynikające </w:t>
      </w:r>
      <w:r w:rsidR="00D56712" w:rsidRPr="002F7D5A">
        <w:rPr>
          <w:sz w:val="24"/>
          <w:szCs w:val="24"/>
        </w:rPr>
        <w:t xml:space="preserve">z </w:t>
      </w:r>
      <w:r w:rsidR="00216DB4" w:rsidRPr="002F7D5A">
        <w:rPr>
          <w:sz w:val="24"/>
          <w:szCs w:val="24"/>
        </w:rPr>
        <w:t>Konwencji o ochronie praw człowieka i podstawowych wolności,</w:t>
      </w:r>
      <w:r w:rsidR="00D56712" w:rsidRPr="002F7D5A">
        <w:rPr>
          <w:sz w:val="24"/>
          <w:szCs w:val="24"/>
        </w:rPr>
        <w:t xml:space="preserve"> </w:t>
      </w:r>
      <w:r w:rsidR="001A403E" w:rsidRPr="002F7D5A">
        <w:rPr>
          <w:sz w:val="24"/>
          <w:szCs w:val="24"/>
        </w:rPr>
        <w:t>tak jak są interpretowane i stosowane</w:t>
      </w:r>
      <w:r w:rsidR="00D56712" w:rsidRPr="002F7D5A">
        <w:rPr>
          <w:sz w:val="24"/>
          <w:szCs w:val="24"/>
        </w:rPr>
        <w:t xml:space="preserve"> przez Euro</w:t>
      </w:r>
      <w:r w:rsidR="00897D83" w:rsidRPr="002F7D5A">
        <w:rPr>
          <w:sz w:val="24"/>
          <w:szCs w:val="24"/>
        </w:rPr>
        <w:t>pejski Trybunał Praw Człowieka.</w:t>
      </w:r>
      <w:r w:rsidR="00D56712" w:rsidRPr="002F7D5A">
        <w:rPr>
          <w:sz w:val="24"/>
          <w:szCs w:val="24"/>
        </w:rPr>
        <w:t xml:space="preserve"> </w:t>
      </w:r>
      <w:r w:rsidR="00DE3C75" w:rsidRPr="002F7D5A">
        <w:rPr>
          <w:sz w:val="24"/>
          <w:szCs w:val="24"/>
        </w:rPr>
        <w:t xml:space="preserve">Powyższe zobowiązania obejmują wymagania zapobiegania naruszeniom praw człowieka, w sytuacji kiedy właściwe władze wiedziały albo powinny były wiedzieć o realnym zagrożeniu wystąpienia </w:t>
      </w:r>
      <w:r w:rsidR="00D479F2">
        <w:rPr>
          <w:sz w:val="24"/>
          <w:szCs w:val="24"/>
        </w:rPr>
        <w:t>takich</w:t>
      </w:r>
      <w:r w:rsidR="00DE3C75" w:rsidRPr="002F7D5A">
        <w:rPr>
          <w:sz w:val="24"/>
          <w:szCs w:val="24"/>
        </w:rPr>
        <w:t xml:space="preserve"> narusze</w:t>
      </w:r>
      <w:r w:rsidR="00D479F2">
        <w:rPr>
          <w:sz w:val="24"/>
          <w:szCs w:val="24"/>
        </w:rPr>
        <w:t>ń</w:t>
      </w:r>
      <w:r w:rsidR="003F26A0">
        <w:rPr>
          <w:sz w:val="24"/>
          <w:szCs w:val="24"/>
        </w:rPr>
        <w:t>, podejmowania niezależnych,</w:t>
      </w:r>
      <w:r w:rsidR="00DE3C75" w:rsidRPr="002F7D5A">
        <w:rPr>
          <w:sz w:val="24"/>
          <w:szCs w:val="24"/>
        </w:rPr>
        <w:t xml:space="preserve"> bez</w:t>
      </w:r>
      <w:r w:rsidR="007710F1" w:rsidRPr="002F7D5A">
        <w:rPr>
          <w:sz w:val="24"/>
          <w:szCs w:val="24"/>
        </w:rPr>
        <w:t>s</w:t>
      </w:r>
      <w:r w:rsidR="00DE3C75" w:rsidRPr="002F7D5A">
        <w:rPr>
          <w:sz w:val="24"/>
          <w:szCs w:val="24"/>
        </w:rPr>
        <w:t>tronnych</w:t>
      </w:r>
      <w:r w:rsidR="000268D2" w:rsidRPr="002F7D5A">
        <w:rPr>
          <w:sz w:val="24"/>
          <w:szCs w:val="24"/>
        </w:rPr>
        <w:t xml:space="preserve">, odpowiednich i niezwłocznych </w:t>
      </w:r>
      <w:r w:rsidR="00610473" w:rsidRPr="002F7D5A">
        <w:rPr>
          <w:sz w:val="24"/>
          <w:szCs w:val="24"/>
        </w:rPr>
        <w:t xml:space="preserve">urzędowych </w:t>
      </w:r>
      <w:r w:rsidR="00682B78">
        <w:rPr>
          <w:sz w:val="24"/>
          <w:szCs w:val="24"/>
        </w:rPr>
        <w:t>postępowań przygotowawczych</w:t>
      </w:r>
      <w:r w:rsidR="005A3B66" w:rsidRPr="002F7D5A">
        <w:rPr>
          <w:sz w:val="24"/>
          <w:szCs w:val="24"/>
        </w:rPr>
        <w:t xml:space="preserve">, </w:t>
      </w:r>
      <w:r w:rsidR="00FD452A" w:rsidRPr="002F7D5A">
        <w:rPr>
          <w:sz w:val="24"/>
          <w:szCs w:val="24"/>
        </w:rPr>
        <w:t>kiedy zarzuca się popełnienie takich naruszeń; podejmowania skutecznego ścigania i podjęcia wszystkich odpowiednich środków w celu ustanowienia dostępnych i</w:t>
      </w:r>
      <w:r w:rsidR="00897D83" w:rsidRPr="002F7D5A">
        <w:rPr>
          <w:sz w:val="24"/>
          <w:szCs w:val="24"/>
        </w:rPr>
        <w:t xml:space="preserve"> skutecznych mechanizmów </w:t>
      </w:r>
      <w:r w:rsidR="00897D83" w:rsidRPr="002F7D5A">
        <w:rPr>
          <w:sz w:val="24"/>
          <w:szCs w:val="24"/>
        </w:rPr>
        <w:lastRenderedPageBreak/>
        <w:t xml:space="preserve">zapewnianiających ofiarom takich naruszeń </w:t>
      </w:r>
      <w:r w:rsidR="00FD452A" w:rsidRPr="002F7D5A">
        <w:rPr>
          <w:sz w:val="24"/>
          <w:szCs w:val="24"/>
        </w:rPr>
        <w:t>niezwłoczne i odpowiednie</w:t>
      </w:r>
      <w:r w:rsidR="00897D83" w:rsidRPr="002F7D5A">
        <w:rPr>
          <w:sz w:val="24"/>
          <w:szCs w:val="24"/>
        </w:rPr>
        <w:t xml:space="preserve"> odszkodowanie</w:t>
      </w:r>
      <w:r w:rsidR="007D12F7" w:rsidRPr="002F7D5A">
        <w:rPr>
          <w:sz w:val="24"/>
          <w:szCs w:val="24"/>
        </w:rPr>
        <w:t xml:space="preserve"> za wszelką poniesioną szkodę.</w:t>
      </w:r>
    </w:p>
    <w:p w:rsidR="007D12F7" w:rsidRPr="002F7D5A" w:rsidRDefault="007D12F7" w:rsidP="00E7396B">
      <w:pPr>
        <w:pStyle w:val="Akapitzlist"/>
        <w:numPr>
          <w:ilvl w:val="0"/>
          <w:numId w:val="5"/>
        </w:numPr>
        <w:spacing w:before="120" w:after="120" w:line="240" w:lineRule="auto"/>
        <w:contextualSpacing w:val="0"/>
        <w:jc w:val="both"/>
        <w:rPr>
          <w:sz w:val="24"/>
          <w:szCs w:val="24"/>
        </w:rPr>
      </w:pPr>
      <w:r w:rsidRPr="002F7D5A">
        <w:rPr>
          <w:sz w:val="24"/>
          <w:szCs w:val="24"/>
        </w:rPr>
        <w:t xml:space="preserve">Europejska </w:t>
      </w:r>
      <w:r w:rsidR="00610473" w:rsidRPr="002F7D5A">
        <w:rPr>
          <w:sz w:val="24"/>
          <w:szCs w:val="24"/>
        </w:rPr>
        <w:t>Karta Społeczna, Europejska K</w:t>
      </w:r>
      <w:r w:rsidRPr="002F7D5A">
        <w:rPr>
          <w:sz w:val="24"/>
          <w:szCs w:val="24"/>
        </w:rPr>
        <w:t>arta Społeczna (</w:t>
      </w:r>
      <w:r w:rsidR="00610473" w:rsidRPr="002F7D5A">
        <w:rPr>
          <w:sz w:val="24"/>
          <w:szCs w:val="24"/>
        </w:rPr>
        <w:t>zrewidowana</w:t>
      </w:r>
      <w:r w:rsidRPr="002F7D5A">
        <w:rPr>
          <w:sz w:val="24"/>
          <w:szCs w:val="24"/>
        </w:rPr>
        <w:t xml:space="preserve">) oraz Dodatkowy </w:t>
      </w:r>
      <w:r w:rsidR="00C06F68" w:rsidRPr="002F7D5A">
        <w:rPr>
          <w:sz w:val="24"/>
          <w:szCs w:val="24"/>
        </w:rPr>
        <w:t xml:space="preserve">Protokół do Europejskiej Karty Społecznej przewidujący system dochodzenia roszczeń zbiorowych (ETS nr 158) są </w:t>
      </w:r>
      <w:r w:rsidR="00454528">
        <w:rPr>
          <w:sz w:val="24"/>
          <w:szCs w:val="24"/>
        </w:rPr>
        <w:t>kolejnymi</w:t>
      </w:r>
      <w:r w:rsidR="00454528" w:rsidRPr="002F7D5A">
        <w:rPr>
          <w:sz w:val="24"/>
          <w:szCs w:val="24"/>
        </w:rPr>
        <w:t xml:space="preserve"> </w:t>
      </w:r>
      <w:r w:rsidR="00C06F68" w:rsidRPr="002F7D5A">
        <w:rPr>
          <w:sz w:val="24"/>
          <w:szCs w:val="24"/>
        </w:rPr>
        <w:t xml:space="preserve">kluczowymi </w:t>
      </w:r>
      <w:r w:rsidR="00E5595E" w:rsidRPr="002F7D5A">
        <w:rPr>
          <w:sz w:val="24"/>
          <w:szCs w:val="24"/>
        </w:rPr>
        <w:t>instrumentami</w:t>
      </w:r>
      <w:r w:rsidR="001D5039" w:rsidRPr="002F7D5A">
        <w:rPr>
          <w:sz w:val="24"/>
          <w:szCs w:val="24"/>
        </w:rPr>
        <w:t>, które zapewniają ochronę przed związanymi z biznesem naruszeniami praw człowieka, w szczególności w odniesieniu do praw pracowników. Państwa członkowskie, które ratyfikowały powyższe instrumenty</w:t>
      </w:r>
      <w:r w:rsidR="009A1B97">
        <w:rPr>
          <w:sz w:val="24"/>
          <w:szCs w:val="24"/>
        </w:rPr>
        <w:t>,</w:t>
      </w:r>
      <w:r w:rsidR="001D5039" w:rsidRPr="002F7D5A">
        <w:rPr>
          <w:sz w:val="24"/>
          <w:szCs w:val="24"/>
        </w:rPr>
        <w:t xml:space="preserve"> akceptują jako cel swojej polityki, który ma być realizowany za pomocą wszelkich odpowiednich środków, zarówno o charakterze krajowym jak i międzynarodowym</w:t>
      </w:r>
      <w:r w:rsidR="00DB2D64" w:rsidRPr="002F7D5A">
        <w:rPr>
          <w:sz w:val="24"/>
          <w:szCs w:val="24"/>
        </w:rPr>
        <w:t>, stworzenie warunków, w których wszystkie prawa i zasady określone</w:t>
      </w:r>
      <w:r w:rsidR="00C216E8" w:rsidRPr="002F7D5A">
        <w:rPr>
          <w:sz w:val="24"/>
          <w:szCs w:val="24"/>
        </w:rPr>
        <w:t xml:space="preserve"> w części I Europejskiej Karty Społecznej (</w:t>
      </w:r>
      <w:r w:rsidR="00A34373" w:rsidRPr="002F7D5A">
        <w:rPr>
          <w:sz w:val="24"/>
          <w:szCs w:val="24"/>
        </w:rPr>
        <w:t>zrewidowanej</w:t>
      </w:r>
      <w:r w:rsidR="00C216E8" w:rsidRPr="002F7D5A">
        <w:rPr>
          <w:sz w:val="24"/>
          <w:szCs w:val="24"/>
        </w:rPr>
        <w:t>)</w:t>
      </w:r>
      <w:r w:rsidR="00DB2D64" w:rsidRPr="002F7D5A">
        <w:rPr>
          <w:sz w:val="24"/>
          <w:szCs w:val="24"/>
        </w:rPr>
        <w:t xml:space="preserve"> </w:t>
      </w:r>
      <w:r w:rsidR="00C216E8" w:rsidRPr="002F7D5A">
        <w:rPr>
          <w:sz w:val="24"/>
          <w:szCs w:val="24"/>
        </w:rPr>
        <w:t xml:space="preserve">mogą być skutecznie realizowane, i powinny rozważyć zwiększenie liczby </w:t>
      </w:r>
      <w:r w:rsidR="00610473" w:rsidRPr="002F7D5A">
        <w:rPr>
          <w:sz w:val="24"/>
          <w:szCs w:val="24"/>
        </w:rPr>
        <w:t>przyjętych</w:t>
      </w:r>
      <w:r w:rsidR="00C216E8" w:rsidRPr="002F7D5A">
        <w:rPr>
          <w:sz w:val="24"/>
          <w:szCs w:val="24"/>
        </w:rPr>
        <w:t xml:space="preserve"> przepisów.</w:t>
      </w:r>
    </w:p>
    <w:p w:rsidR="00C216E8" w:rsidRPr="002F7D5A" w:rsidRDefault="00610473" w:rsidP="00E7396B">
      <w:pPr>
        <w:pStyle w:val="Akapitzlist"/>
        <w:numPr>
          <w:ilvl w:val="0"/>
          <w:numId w:val="5"/>
        </w:numPr>
        <w:spacing w:before="120" w:after="120" w:line="240" w:lineRule="auto"/>
        <w:contextualSpacing w:val="0"/>
        <w:jc w:val="both"/>
        <w:rPr>
          <w:sz w:val="24"/>
          <w:szCs w:val="24"/>
        </w:rPr>
      </w:pPr>
      <w:r w:rsidRPr="002F7D5A">
        <w:rPr>
          <w:sz w:val="24"/>
          <w:szCs w:val="24"/>
        </w:rPr>
        <w:t xml:space="preserve"> </w:t>
      </w:r>
      <w:r w:rsidR="00454528">
        <w:rPr>
          <w:sz w:val="24"/>
          <w:szCs w:val="24"/>
        </w:rPr>
        <w:t>P</w:t>
      </w:r>
      <w:r w:rsidR="00C216E8" w:rsidRPr="002F7D5A">
        <w:rPr>
          <w:sz w:val="24"/>
          <w:szCs w:val="24"/>
        </w:rPr>
        <w:t>aństwa członkowskie</w:t>
      </w:r>
      <w:r w:rsidR="00454528">
        <w:rPr>
          <w:sz w:val="24"/>
          <w:szCs w:val="24"/>
        </w:rPr>
        <w:t>, z</w:t>
      </w:r>
      <w:r w:rsidR="00454528" w:rsidRPr="00454528">
        <w:rPr>
          <w:sz w:val="24"/>
          <w:szCs w:val="24"/>
        </w:rPr>
        <w:t>godnie z ich</w:t>
      </w:r>
      <w:r w:rsidR="00454528">
        <w:rPr>
          <w:sz w:val="24"/>
          <w:szCs w:val="24"/>
        </w:rPr>
        <w:t xml:space="preserve"> </w:t>
      </w:r>
      <w:r w:rsidR="00454528" w:rsidRPr="00454528">
        <w:rPr>
          <w:sz w:val="24"/>
          <w:szCs w:val="24"/>
        </w:rPr>
        <w:t>międzynarodowymi zobowiązaniami,</w:t>
      </w:r>
      <w:r w:rsidR="00C216E8" w:rsidRPr="002F7D5A">
        <w:rPr>
          <w:sz w:val="24"/>
          <w:szCs w:val="24"/>
        </w:rPr>
        <w:t xml:space="preserve"> powinny za</w:t>
      </w:r>
      <w:r w:rsidR="001118D4" w:rsidRPr="002F7D5A">
        <w:rPr>
          <w:sz w:val="24"/>
          <w:szCs w:val="24"/>
        </w:rPr>
        <w:t>pewnić skuteczną implementację regulacji krajowych dotyczących zatrudnienia</w:t>
      </w:r>
      <w:r w:rsidR="00C216E8" w:rsidRPr="002F7D5A">
        <w:rPr>
          <w:sz w:val="24"/>
          <w:szCs w:val="24"/>
        </w:rPr>
        <w:t xml:space="preserve"> </w:t>
      </w:r>
      <w:r w:rsidR="00C9108C" w:rsidRPr="002F7D5A">
        <w:rPr>
          <w:sz w:val="24"/>
          <w:szCs w:val="24"/>
        </w:rPr>
        <w:t>i wymagać</w:t>
      </w:r>
      <w:r w:rsidR="00C216E8" w:rsidRPr="002F7D5A">
        <w:rPr>
          <w:sz w:val="24"/>
          <w:szCs w:val="24"/>
        </w:rPr>
        <w:t xml:space="preserve"> od przedsiębiorstw</w:t>
      </w:r>
      <w:r w:rsidR="001118D4" w:rsidRPr="002F7D5A">
        <w:rPr>
          <w:sz w:val="24"/>
          <w:szCs w:val="24"/>
        </w:rPr>
        <w:t>,</w:t>
      </w:r>
      <w:r w:rsidR="00C216E8" w:rsidRPr="002F7D5A">
        <w:rPr>
          <w:sz w:val="24"/>
          <w:szCs w:val="24"/>
        </w:rPr>
        <w:t xml:space="preserve"> </w:t>
      </w:r>
      <w:r w:rsidR="00B815AA" w:rsidRPr="002F7D5A">
        <w:rPr>
          <w:sz w:val="24"/>
          <w:szCs w:val="24"/>
        </w:rPr>
        <w:t>aby nie</w:t>
      </w:r>
      <w:r w:rsidR="00C216E8" w:rsidRPr="002F7D5A">
        <w:rPr>
          <w:sz w:val="24"/>
          <w:szCs w:val="24"/>
        </w:rPr>
        <w:t xml:space="preserve"> </w:t>
      </w:r>
      <w:r w:rsidR="00B815AA" w:rsidRPr="002F7D5A">
        <w:rPr>
          <w:sz w:val="24"/>
          <w:szCs w:val="24"/>
        </w:rPr>
        <w:t>dyskryminowały pracowników z jakiejkolwiek przyczyny</w:t>
      </w:r>
      <w:r w:rsidR="00AB1AD6" w:rsidRPr="002F7D5A">
        <w:rPr>
          <w:sz w:val="24"/>
          <w:szCs w:val="24"/>
        </w:rPr>
        <w:t xml:space="preserve">, zgodnie z </w:t>
      </w:r>
      <w:r w:rsidR="0042546E">
        <w:rPr>
          <w:sz w:val="24"/>
          <w:szCs w:val="24"/>
        </w:rPr>
        <w:t>art.</w:t>
      </w:r>
      <w:r w:rsidR="00AB1AD6" w:rsidRPr="002F7D5A">
        <w:rPr>
          <w:sz w:val="24"/>
          <w:szCs w:val="24"/>
        </w:rPr>
        <w:t xml:space="preserve"> 14 Konwencji o ochronie praw człowieka i podstawowych wolności i orzecznictwem Europejskiego Trybunału Praw Człowieka.</w:t>
      </w:r>
    </w:p>
    <w:p w:rsidR="00AB1AD6" w:rsidRPr="002F7D5A" w:rsidRDefault="00AB1AD6" w:rsidP="00E7396B">
      <w:pPr>
        <w:pStyle w:val="Akapitzlist"/>
        <w:numPr>
          <w:ilvl w:val="0"/>
          <w:numId w:val="5"/>
        </w:numPr>
        <w:spacing w:before="120" w:after="120" w:line="240" w:lineRule="auto"/>
        <w:contextualSpacing w:val="0"/>
        <w:jc w:val="both"/>
        <w:rPr>
          <w:sz w:val="24"/>
          <w:szCs w:val="24"/>
        </w:rPr>
      </w:pPr>
      <w:r w:rsidRPr="002F7D5A">
        <w:rPr>
          <w:sz w:val="24"/>
          <w:szCs w:val="24"/>
        </w:rPr>
        <w:t>Państw</w:t>
      </w:r>
      <w:r w:rsidR="00B50AF5" w:rsidRPr="002F7D5A">
        <w:rPr>
          <w:sz w:val="24"/>
          <w:szCs w:val="24"/>
        </w:rPr>
        <w:t>a członkowskie powinny zagwarantować</w:t>
      </w:r>
      <w:r w:rsidR="00454528">
        <w:rPr>
          <w:sz w:val="24"/>
          <w:szCs w:val="24"/>
        </w:rPr>
        <w:t>,</w:t>
      </w:r>
      <w:r w:rsidR="00F87801">
        <w:rPr>
          <w:sz w:val="24"/>
          <w:szCs w:val="24"/>
        </w:rPr>
        <w:t xml:space="preserve"> </w:t>
      </w:r>
      <w:r w:rsidR="00454528" w:rsidRPr="00454528">
        <w:rPr>
          <w:sz w:val="24"/>
          <w:szCs w:val="24"/>
        </w:rPr>
        <w:t xml:space="preserve">aby </w:t>
      </w:r>
      <w:r w:rsidR="00454528">
        <w:rPr>
          <w:sz w:val="24"/>
          <w:szCs w:val="24"/>
        </w:rPr>
        <w:t xml:space="preserve">ich </w:t>
      </w:r>
      <w:r w:rsidR="00454528" w:rsidRPr="00454528">
        <w:rPr>
          <w:sz w:val="24"/>
          <w:szCs w:val="24"/>
        </w:rPr>
        <w:t>ustawodawstwo stwarzało warunki sprzyjające poszanowaniu praw człowieka przez przedsiębiorstwa, nie tworzyło natomiast barier w zapewnianiu skutecznej odpowiedzialności i środków zaradczych w przypadku naruszenia praw człowieka związanego z biznesem</w:t>
      </w:r>
      <w:r w:rsidR="00B50AF5" w:rsidRPr="002F7D5A">
        <w:rPr>
          <w:sz w:val="24"/>
          <w:szCs w:val="24"/>
        </w:rPr>
        <w:t xml:space="preserve">. </w:t>
      </w:r>
      <w:r w:rsidR="00FC47CE" w:rsidRPr="002F7D5A">
        <w:rPr>
          <w:sz w:val="24"/>
          <w:szCs w:val="24"/>
        </w:rPr>
        <w:t xml:space="preserve">Państwa członkowskie </w:t>
      </w:r>
      <w:r w:rsidR="00FC47CE" w:rsidRPr="00BF5691">
        <w:rPr>
          <w:sz w:val="24"/>
          <w:szCs w:val="24"/>
        </w:rPr>
        <w:t>powinny</w:t>
      </w:r>
      <w:r w:rsidR="00B50AF5" w:rsidRPr="00BF5691">
        <w:rPr>
          <w:sz w:val="24"/>
          <w:szCs w:val="24"/>
        </w:rPr>
        <w:t xml:space="preserve"> </w:t>
      </w:r>
      <w:r w:rsidR="00FC47CE" w:rsidRPr="00BF5691">
        <w:rPr>
          <w:sz w:val="24"/>
          <w:szCs w:val="24"/>
        </w:rPr>
        <w:t>ocenić</w:t>
      </w:r>
      <w:r w:rsidR="00BF252D" w:rsidRPr="00BF5691">
        <w:rPr>
          <w:sz w:val="24"/>
          <w:szCs w:val="24"/>
        </w:rPr>
        <w:t xml:space="preserve"> </w:t>
      </w:r>
      <w:r w:rsidR="00E52534" w:rsidRPr="00BF5691">
        <w:rPr>
          <w:sz w:val="24"/>
          <w:szCs w:val="24"/>
        </w:rPr>
        <w:t>relewantne</w:t>
      </w:r>
      <w:r w:rsidR="00E52534">
        <w:rPr>
          <w:sz w:val="24"/>
          <w:szCs w:val="24"/>
        </w:rPr>
        <w:t xml:space="preserve"> </w:t>
      </w:r>
      <w:r w:rsidR="00493FBE" w:rsidRPr="002F7D5A">
        <w:rPr>
          <w:sz w:val="24"/>
          <w:szCs w:val="24"/>
        </w:rPr>
        <w:t>projekty legislacyjne</w:t>
      </w:r>
      <w:r w:rsidR="00FC47CE" w:rsidRPr="002F7D5A">
        <w:rPr>
          <w:sz w:val="24"/>
          <w:szCs w:val="24"/>
        </w:rPr>
        <w:t xml:space="preserve"> </w:t>
      </w:r>
      <w:r w:rsidR="00BF7062">
        <w:rPr>
          <w:sz w:val="24"/>
          <w:szCs w:val="24"/>
        </w:rPr>
        <w:t xml:space="preserve">pod kątem </w:t>
      </w:r>
      <w:r w:rsidR="007E427C">
        <w:rPr>
          <w:sz w:val="24"/>
          <w:szCs w:val="24"/>
        </w:rPr>
        <w:t xml:space="preserve">ich </w:t>
      </w:r>
      <w:r w:rsidR="00FC47CE" w:rsidRPr="002F7D5A">
        <w:rPr>
          <w:sz w:val="24"/>
          <w:szCs w:val="24"/>
        </w:rPr>
        <w:t>wpływu na prawa człowieka.</w:t>
      </w:r>
    </w:p>
    <w:p w:rsidR="00FC47CE" w:rsidRPr="002F7D5A" w:rsidRDefault="00FC47CE" w:rsidP="00E7396B">
      <w:pPr>
        <w:pStyle w:val="Akapitzlist"/>
        <w:numPr>
          <w:ilvl w:val="0"/>
          <w:numId w:val="5"/>
        </w:numPr>
        <w:spacing w:before="120" w:after="120" w:line="240" w:lineRule="auto"/>
        <w:contextualSpacing w:val="0"/>
        <w:jc w:val="both"/>
        <w:rPr>
          <w:sz w:val="24"/>
          <w:szCs w:val="24"/>
        </w:rPr>
      </w:pPr>
      <w:r w:rsidRPr="002F7D5A">
        <w:rPr>
          <w:sz w:val="24"/>
          <w:szCs w:val="24"/>
        </w:rPr>
        <w:t>Państwa członkowskie powinny zwracać szczególną uwagę na prawa</w:t>
      </w:r>
      <w:r w:rsidR="00DE39CC">
        <w:rPr>
          <w:sz w:val="24"/>
          <w:szCs w:val="24"/>
        </w:rPr>
        <w:t>,</w:t>
      </w:r>
      <w:r w:rsidRPr="002F7D5A">
        <w:rPr>
          <w:sz w:val="24"/>
          <w:szCs w:val="24"/>
        </w:rPr>
        <w:t xml:space="preserve"> potrzeby</w:t>
      </w:r>
      <w:r w:rsidR="00DE39CC">
        <w:rPr>
          <w:sz w:val="24"/>
          <w:szCs w:val="24"/>
        </w:rPr>
        <w:t xml:space="preserve"> i</w:t>
      </w:r>
      <w:r w:rsidR="0043036D" w:rsidRPr="002F7D5A">
        <w:rPr>
          <w:sz w:val="24"/>
          <w:szCs w:val="24"/>
        </w:rPr>
        <w:t xml:space="preserve"> wyzwania</w:t>
      </w:r>
      <w:r w:rsidR="009969AA" w:rsidRPr="002F7D5A">
        <w:rPr>
          <w:sz w:val="24"/>
          <w:szCs w:val="24"/>
        </w:rPr>
        <w:t xml:space="preserve">, </w:t>
      </w:r>
      <w:r w:rsidR="00DE39CC">
        <w:rPr>
          <w:sz w:val="24"/>
          <w:szCs w:val="24"/>
        </w:rPr>
        <w:t>z którymi muszą się zmierzyć</w:t>
      </w:r>
      <w:r w:rsidR="0043036D" w:rsidRPr="002F7D5A">
        <w:rPr>
          <w:sz w:val="24"/>
          <w:szCs w:val="24"/>
        </w:rPr>
        <w:t xml:space="preserve"> </w:t>
      </w:r>
      <w:r w:rsidR="009969AA" w:rsidRPr="002F7D5A">
        <w:rPr>
          <w:sz w:val="24"/>
          <w:szCs w:val="24"/>
        </w:rPr>
        <w:t>jednostki, grupy lub populacje</w:t>
      </w:r>
      <w:r w:rsidR="0043036D" w:rsidRPr="002F7D5A">
        <w:rPr>
          <w:sz w:val="24"/>
          <w:szCs w:val="24"/>
        </w:rPr>
        <w:t xml:space="preserve">, które mogą być </w:t>
      </w:r>
      <w:r w:rsidR="0043036D" w:rsidRPr="006B3C50">
        <w:rPr>
          <w:sz w:val="24"/>
          <w:szCs w:val="24"/>
        </w:rPr>
        <w:t xml:space="preserve">szczególnie </w:t>
      </w:r>
      <w:r w:rsidR="00BF7062" w:rsidRPr="006B3C50">
        <w:rPr>
          <w:sz w:val="24"/>
          <w:szCs w:val="24"/>
        </w:rPr>
        <w:t xml:space="preserve">podatne </w:t>
      </w:r>
      <w:r w:rsidR="0043036D" w:rsidRPr="006B3C50">
        <w:rPr>
          <w:sz w:val="24"/>
          <w:szCs w:val="24"/>
        </w:rPr>
        <w:t>lub</w:t>
      </w:r>
      <w:r w:rsidR="0043036D" w:rsidRPr="002F7D5A">
        <w:rPr>
          <w:sz w:val="24"/>
          <w:szCs w:val="24"/>
        </w:rPr>
        <w:t xml:space="preserve"> narażone na ryzyko marginalizacji.</w:t>
      </w:r>
    </w:p>
    <w:p w:rsidR="004C3A17" w:rsidRDefault="004C3A17" w:rsidP="00E7396B">
      <w:pPr>
        <w:pStyle w:val="Akapitzlist"/>
        <w:spacing w:before="120" w:after="120" w:line="240" w:lineRule="auto"/>
        <w:ind w:left="927"/>
        <w:contextualSpacing w:val="0"/>
        <w:jc w:val="both"/>
        <w:rPr>
          <w:sz w:val="24"/>
          <w:szCs w:val="24"/>
        </w:rPr>
      </w:pPr>
    </w:p>
    <w:p w:rsidR="00E7396B" w:rsidRPr="002F7D5A" w:rsidRDefault="00E7396B" w:rsidP="00E7396B">
      <w:pPr>
        <w:pStyle w:val="Akapitzlist"/>
        <w:spacing w:before="120" w:after="120" w:line="240" w:lineRule="auto"/>
        <w:ind w:left="927"/>
        <w:contextualSpacing w:val="0"/>
        <w:jc w:val="both"/>
        <w:rPr>
          <w:sz w:val="24"/>
          <w:szCs w:val="24"/>
        </w:rPr>
      </w:pPr>
    </w:p>
    <w:p w:rsidR="009969AA" w:rsidRDefault="00D45BFF" w:rsidP="00E7396B">
      <w:pPr>
        <w:pStyle w:val="Akapitzlist"/>
        <w:numPr>
          <w:ilvl w:val="0"/>
          <w:numId w:val="3"/>
        </w:numPr>
        <w:spacing w:before="120" w:after="120" w:line="240" w:lineRule="auto"/>
        <w:ind w:left="993" w:hanging="273"/>
        <w:contextualSpacing w:val="0"/>
        <w:jc w:val="both"/>
        <w:rPr>
          <w:b/>
          <w:sz w:val="24"/>
          <w:szCs w:val="24"/>
        </w:rPr>
      </w:pPr>
      <w:r w:rsidRPr="002F7D5A">
        <w:rPr>
          <w:b/>
          <w:sz w:val="24"/>
          <w:szCs w:val="24"/>
        </w:rPr>
        <w:t>Działania pań</w:t>
      </w:r>
      <w:r w:rsidR="00897D83" w:rsidRPr="002F7D5A">
        <w:rPr>
          <w:b/>
          <w:sz w:val="24"/>
          <w:szCs w:val="24"/>
        </w:rPr>
        <w:t xml:space="preserve">stwa </w:t>
      </w:r>
      <w:r w:rsidR="00505F95">
        <w:rPr>
          <w:b/>
          <w:sz w:val="24"/>
          <w:szCs w:val="24"/>
        </w:rPr>
        <w:t>w celu</w:t>
      </w:r>
      <w:r w:rsidR="00897D83" w:rsidRPr="002F7D5A">
        <w:rPr>
          <w:b/>
          <w:sz w:val="24"/>
          <w:szCs w:val="24"/>
        </w:rPr>
        <w:t xml:space="preserve"> zapewnieni</w:t>
      </w:r>
      <w:r w:rsidR="00505F95">
        <w:rPr>
          <w:b/>
          <w:sz w:val="24"/>
          <w:szCs w:val="24"/>
        </w:rPr>
        <w:t>a</w:t>
      </w:r>
      <w:r w:rsidR="00897D83" w:rsidRPr="002F7D5A">
        <w:rPr>
          <w:b/>
          <w:sz w:val="24"/>
          <w:szCs w:val="24"/>
        </w:rPr>
        <w:t xml:space="preserve"> </w:t>
      </w:r>
      <w:r w:rsidRPr="002F7D5A">
        <w:rPr>
          <w:b/>
          <w:sz w:val="24"/>
          <w:szCs w:val="24"/>
        </w:rPr>
        <w:t xml:space="preserve">odpowiedzialności przedsiębiorstw </w:t>
      </w:r>
      <w:r w:rsidR="0043036D" w:rsidRPr="002F7D5A">
        <w:rPr>
          <w:b/>
          <w:sz w:val="24"/>
          <w:szCs w:val="24"/>
        </w:rPr>
        <w:t>za poszanowanie</w:t>
      </w:r>
      <w:r w:rsidRPr="002F7D5A">
        <w:rPr>
          <w:b/>
          <w:sz w:val="24"/>
          <w:szCs w:val="24"/>
        </w:rPr>
        <w:t xml:space="preserve"> praw człowieka</w:t>
      </w:r>
    </w:p>
    <w:p w:rsidR="00E7396B" w:rsidRPr="002F7D5A" w:rsidRDefault="00E7396B" w:rsidP="00E7396B">
      <w:pPr>
        <w:pStyle w:val="Akapitzlist"/>
        <w:spacing w:before="120" w:after="120" w:line="240" w:lineRule="auto"/>
        <w:ind w:left="993"/>
        <w:contextualSpacing w:val="0"/>
        <w:jc w:val="both"/>
        <w:rPr>
          <w:b/>
          <w:sz w:val="24"/>
          <w:szCs w:val="24"/>
        </w:rPr>
      </w:pPr>
    </w:p>
    <w:p w:rsidR="009969AA" w:rsidRPr="002F7D5A" w:rsidRDefault="00DA1F9A" w:rsidP="00E7396B">
      <w:pPr>
        <w:pStyle w:val="Akapitzlist"/>
        <w:numPr>
          <w:ilvl w:val="0"/>
          <w:numId w:val="5"/>
        </w:numPr>
        <w:spacing w:before="120" w:after="120" w:line="240" w:lineRule="auto"/>
        <w:contextualSpacing w:val="0"/>
        <w:jc w:val="both"/>
        <w:rPr>
          <w:sz w:val="24"/>
          <w:szCs w:val="24"/>
        </w:rPr>
      </w:pPr>
      <w:r w:rsidRPr="002F7D5A">
        <w:rPr>
          <w:sz w:val="24"/>
          <w:szCs w:val="24"/>
        </w:rPr>
        <w:t>Państwa członkowskie powinny zastosować takie środki, jakie mogą być konieczne, by zachęcić lub, w razie potrzeby, wym</w:t>
      </w:r>
      <w:r w:rsidR="00EA45B1">
        <w:rPr>
          <w:sz w:val="24"/>
          <w:szCs w:val="24"/>
        </w:rPr>
        <w:t>agać</w:t>
      </w:r>
      <w:r w:rsidRPr="002F7D5A">
        <w:rPr>
          <w:sz w:val="24"/>
          <w:szCs w:val="24"/>
        </w:rPr>
        <w:t>,</w:t>
      </w:r>
      <w:r w:rsidR="00A34373" w:rsidRPr="002F7D5A">
        <w:rPr>
          <w:sz w:val="24"/>
          <w:szCs w:val="24"/>
        </w:rPr>
        <w:t xml:space="preserve"> </w:t>
      </w:r>
      <w:r w:rsidRPr="002F7D5A">
        <w:rPr>
          <w:sz w:val="24"/>
          <w:szCs w:val="24"/>
        </w:rPr>
        <w:t>by:</w:t>
      </w:r>
    </w:p>
    <w:p w:rsidR="00DA1F9A" w:rsidRPr="002F7D5A" w:rsidRDefault="00004729" w:rsidP="00E7396B">
      <w:pPr>
        <w:pStyle w:val="Akapitzlist"/>
        <w:numPr>
          <w:ilvl w:val="0"/>
          <w:numId w:val="8"/>
        </w:numPr>
        <w:spacing w:before="120" w:after="120" w:line="240" w:lineRule="auto"/>
        <w:contextualSpacing w:val="0"/>
        <w:jc w:val="both"/>
        <w:rPr>
          <w:sz w:val="24"/>
          <w:szCs w:val="24"/>
        </w:rPr>
      </w:pPr>
      <w:r w:rsidRPr="002F7D5A">
        <w:rPr>
          <w:sz w:val="24"/>
          <w:szCs w:val="24"/>
        </w:rPr>
        <w:t>p</w:t>
      </w:r>
      <w:r w:rsidR="00A201F2" w:rsidRPr="002F7D5A">
        <w:rPr>
          <w:sz w:val="24"/>
          <w:szCs w:val="24"/>
        </w:rPr>
        <w:t xml:space="preserve">rzedsiębiorstwa mające </w:t>
      </w:r>
      <w:r w:rsidR="001F3A19">
        <w:rPr>
          <w:sz w:val="24"/>
          <w:szCs w:val="24"/>
        </w:rPr>
        <w:t xml:space="preserve">swoją </w:t>
      </w:r>
      <w:r w:rsidR="00A201F2" w:rsidRPr="002F7D5A">
        <w:rPr>
          <w:sz w:val="24"/>
          <w:szCs w:val="24"/>
        </w:rPr>
        <w:t xml:space="preserve">siedzibę </w:t>
      </w:r>
      <w:r w:rsidR="0043036D" w:rsidRPr="002F7D5A">
        <w:rPr>
          <w:sz w:val="24"/>
          <w:szCs w:val="24"/>
        </w:rPr>
        <w:t xml:space="preserve">w obrębie </w:t>
      </w:r>
      <w:r w:rsidR="00A201F2" w:rsidRPr="002F7D5A">
        <w:rPr>
          <w:sz w:val="24"/>
          <w:szCs w:val="24"/>
        </w:rPr>
        <w:t>ich jurysdykcj</w:t>
      </w:r>
      <w:r w:rsidR="00AA230B">
        <w:rPr>
          <w:sz w:val="24"/>
          <w:szCs w:val="24"/>
        </w:rPr>
        <w:t>i</w:t>
      </w:r>
      <w:r w:rsidR="00A201F2" w:rsidRPr="002F7D5A">
        <w:rPr>
          <w:sz w:val="24"/>
          <w:szCs w:val="24"/>
        </w:rPr>
        <w:t xml:space="preserve"> </w:t>
      </w:r>
      <w:r w:rsidR="00331B35">
        <w:rPr>
          <w:sz w:val="24"/>
          <w:szCs w:val="24"/>
        </w:rPr>
        <w:t xml:space="preserve">dokładały </w:t>
      </w:r>
      <w:r w:rsidRPr="002F7D5A">
        <w:rPr>
          <w:sz w:val="24"/>
          <w:szCs w:val="24"/>
        </w:rPr>
        <w:t>należyt</w:t>
      </w:r>
      <w:r w:rsidR="00331B35">
        <w:rPr>
          <w:sz w:val="24"/>
          <w:szCs w:val="24"/>
        </w:rPr>
        <w:t>ej</w:t>
      </w:r>
      <w:r w:rsidRPr="002F7D5A">
        <w:rPr>
          <w:sz w:val="24"/>
          <w:szCs w:val="24"/>
        </w:rPr>
        <w:t xml:space="preserve"> staranno</w:t>
      </w:r>
      <w:r w:rsidR="00331B35">
        <w:rPr>
          <w:sz w:val="24"/>
          <w:szCs w:val="24"/>
        </w:rPr>
        <w:t>ści</w:t>
      </w:r>
      <w:r w:rsidR="00DE39CC">
        <w:rPr>
          <w:sz w:val="24"/>
          <w:szCs w:val="24"/>
        </w:rPr>
        <w:t xml:space="preserve"> w zakresie </w:t>
      </w:r>
      <w:r w:rsidRPr="002F7D5A">
        <w:rPr>
          <w:sz w:val="24"/>
          <w:szCs w:val="24"/>
        </w:rPr>
        <w:t>praw człowieka we wszystkich obszarach ich działalności;</w:t>
      </w:r>
    </w:p>
    <w:p w:rsidR="00004729" w:rsidRPr="002F7D5A" w:rsidRDefault="00004729" w:rsidP="00E7396B">
      <w:pPr>
        <w:pStyle w:val="Akapitzlist"/>
        <w:numPr>
          <w:ilvl w:val="0"/>
          <w:numId w:val="8"/>
        </w:numPr>
        <w:spacing w:before="120" w:after="120" w:line="240" w:lineRule="auto"/>
        <w:contextualSpacing w:val="0"/>
        <w:jc w:val="both"/>
        <w:rPr>
          <w:sz w:val="24"/>
          <w:szCs w:val="24"/>
        </w:rPr>
      </w:pPr>
      <w:r w:rsidRPr="002F7D5A">
        <w:rPr>
          <w:sz w:val="24"/>
          <w:szCs w:val="24"/>
        </w:rPr>
        <w:t>przedsiębiorstwa prowadzące znaczną część działalności w</w:t>
      </w:r>
      <w:r w:rsidR="0043036D" w:rsidRPr="002F7D5A">
        <w:rPr>
          <w:sz w:val="24"/>
          <w:szCs w:val="24"/>
        </w:rPr>
        <w:t xml:space="preserve"> obrębie</w:t>
      </w:r>
      <w:r w:rsidRPr="002F7D5A">
        <w:rPr>
          <w:sz w:val="24"/>
          <w:szCs w:val="24"/>
        </w:rPr>
        <w:t xml:space="preserve"> ich jurysdykcji </w:t>
      </w:r>
      <w:r w:rsidR="00331B35">
        <w:rPr>
          <w:sz w:val="24"/>
          <w:szCs w:val="24"/>
        </w:rPr>
        <w:t xml:space="preserve">dokładały </w:t>
      </w:r>
      <w:r w:rsidRPr="002F7D5A">
        <w:rPr>
          <w:sz w:val="24"/>
          <w:szCs w:val="24"/>
        </w:rPr>
        <w:t>należyt</w:t>
      </w:r>
      <w:r w:rsidR="00331B35">
        <w:rPr>
          <w:sz w:val="24"/>
          <w:szCs w:val="24"/>
        </w:rPr>
        <w:t>ej</w:t>
      </w:r>
      <w:r w:rsidRPr="002F7D5A">
        <w:rPr>
          <w:sz w:val="24"/>
          <w:szCs w:val="24"/>
        </w:rPr>
        <w:t xml:space="preserve"> starannoś</w:t>
      </w:r>
      <w:r w:rsidR="00D42049">
        <w:rPr>
          <w:sz w:val="24"/>
          <w:szCs w:val="24"/>
        </w:rPr>
        <w:t>ci</w:t>
      </w:r>
      <w:r w:rsidRPr="002F7D5A">
        <w:rPr>
          <w:sz w:val="24"/>
          <w:szCs w:val="24"/>
        </w:rPr>
        <w:t xml:space="preserve"> w zakresie praw człowieka w </w:t>
      </w:r>
      <w:r w:rsidR="00331B35">
        <w:rPr>
          <w:sz w:val="24"/>
          <w:szCs w:val="24"/>
        </w:rPr>
        <w:t>odniesieniu do tej działalności</w:t>
      </w:r>
      <w:r w:rsidRPr="002F7D5A">
        <w:rPr>
          <w:sz w:val="24"/>
          <w:szCs w:val="24"/>
        </w:rPr>
        <w:t>;</w:t>
      </w:r>
    </w:p>
    <w:p w:rsidR="005644D8" w:rsidRPr="002F7D5A" w:rsidRDefault="0022677B" w:rsidP="00E7396B">
      <w:pPr>
        <w:pStyle w:val="Akapitzlist"/>
        <w:spacing w:before="120" w:after="120" w:line="240" w:lineRule="auto"/>
        <w:ind w:left="927"/>
        <w:contextualSpacing w:val="0"/>
        <w:jc w:val="both"/>
        <w:rPr>
          <w:sz w:val="24"/>
          <w:szCs w:val="24"/>
        </w:rPr>
      </w:pPr>
      <w:r w:rsidRPr="002F7D5A">
        <w:rPr>
          <w:sz w:val="24"/>
          <w:szCs w:val="24"/>
        </w:rPr>
        <w:lastRenderedPageBreak/>
        <w:t xml:space="preserve">w tym </w:t>
      </w:r>
      <w:r w:rsidR="00A34373" w:rsidRPr="002F7D5A">
        <w:rPr>
          <w:sz w:val="24"/>
          <w:szCs w:val="24"/>
        </w:rPr>
        <w:t xml:space="preserve">dokonywały </w:t>
      </w:r>
      <w:r w:rsidRPr="002F7D5A">
        <w:rPr>
          <w:sz w:val="24"/>
          <w:szCs w:val="24"/>
        </w:rPr>
        <w:t xml:space="preserve">oceny </w:t>
      </w:r>
      <w:r w:rsidR="0062704A" w:rsidRPr="002F7D5A">
        <w:rPr>
          <w:sz w:val="24"/>
          <w:szCs w:val="24"/>
        </w:rPr>
        <w:t>wpływu</w:t>
      </w:r>
      <w:r w:rsidRPr="002F7D5A">
        <w:rPr>
          <w:sz w:val="24"/>
          <w:szCs w:val="24"/>
        </w:rPr>
        <w:t xml:space="preserve"> </w:t>
      </w:r>
      <w:r w:rsidR="00882C04">
        <w:rPr>
          <w:sz w:val="24"/>
          <w:szCs w:val="24"/>
        </w:rPr>
        <w:t xml:space="preserve">konkretnych przedsięwzięć </w:t>
      </w:r>
      <w:r w:rsidR="00A34373" w:rsidRPr="002F7D5A">
        <w:rPr>
          <w:sz w:val="24"/>
          <w:szCs w:val="24"/>
        </w:rPr>
        <w:t>na</w:t>
      </w:r>
      <w:r w:rsidRPr="002F7D5A">
        <w:rPr>
          <w:sz w:val="24"/>
          <w:szCs w:val="24"/>
        </w:rPr>
        <w:t xml:space="preserve"> </w:t>
      </w:r>
      <w:r w:rsidR="006D53B2">
        <w:rPr>
          <w:sz w:val="24"/>
          <w:szCs w:val="24"/>
        </w:rPr>
        <w:t xml:space="preserve">przestrzeganie </w:t>
      </w:r>
      <w:r w:rsidRPr="002F7D5A">
        <w:rPr>
          <w:sz w:val="24"/>
          <w:szCs w:val="24"/>
        </w:rPr>
        <w:t>praw człowieka, stosownie do wielkości przedsiębiorstwa oraz charakteru i kontekstu działalności.</w:t>
      </w:r>
    </w:p>
    <w:p w:rsidR="0022677B" w:rsidRPr="002F7D5A" w:rsidRDefault="00AC3371" w:rsidP="00E7396B">
      <w:pPr>
        <w:pStyle w:val="Akapitzlist"/>
        <w:numPr>
          <w:ilvl w:val="0"/>
          <w:numId w:val="5"/>
        </w:numPr>
        <w:spacing w:before="120" w:after="120" w:line="240" w:lineRule="auto"/>
        <w:contextualSpacing w:val="0"/>
        <w:jc w:val="both"/>
        <w:rPr>
          <w:sz w:val="24"/>
          <w:szCs w:val="24"/>
        </w:rPr>
      </w:pPr>
      <w:r w:rsidRPr="002F7D5A">
        <w:rPr>
          <w:sz w:val="24"/>
          <w:szCs w:val="24"/>
        </w:rPr>
        <w:t>Państwa członkowskie powinny zachęcać i, w miarę potrzeby, wymagać od</w:t>
      </w:r>
      <w:r w:rsidR="008D1BC1" w:rsidRPr="002F7D5A">
        <w:rPr>
          <w:sz w:val="24"/>
          <w:szCs w:val="24"/>
        </w:rPr>
        <w:t xml:space="preserve"> przedsiębiorstw</w:t>
      </w:r>
      <w:r w:rsidRPr="002F7D5A">
        <w:rPr>
          <w:sz w:val="24"/>
          <w:szCs w:val="24"/>
        </w:rPr>
        <w:t>, o których mowa w paragrafie 20, aby w</w:t>
      </w:r>
      <w:r w:rsidR="008D1BC1" w:rsidRPr="002F7D5A">
        <w:rPr>
          <w:sz w:val="24"/>
          <w:szCs w:val="24"/>
        </w:rPr>
        <w:t>ykazywały</w:t>
      </w:r>
      <w:r w:rsidRPr="002F7D5A">
        <w:rPr>
          <w:sz w:val="24"/>
          <w:szCs w:val="24"/>
        </w:rPr>
        <w:t xml:space="preserve"> większą przejrzystość</w:t>
      </w:r>
      <w:r w:rsidR="00A34373" w:rsidRPr="002F7D5A">
        <w:rPr>
          <w:sz w:val="24"/>
          <w:szCs w:val="24"/>
        </w:rPr>
        <w:t>,</w:t>
      </w:r>
      <w:r w:rsidRPr="002F7D5A">
        <w:rPr>
          <w:sz w:val="24"/>
          <w:szCs w:val="24"/>
        </w:rPr>
        <w:t xml:space="preserve"> </w:t>
      </w:r>
      <w:r w:rsidR="008D1BC1" w:rsidRPr="002F7D5A">
        <w:rPr>
          <w:sz w:val="24"/>
          <w:szCs w:val="24"/>
        </w:rPr>
        <w:t xml:space="preserve">dzięki której </w:t>
      </w:r>
      <w:r w:rsidR="00D42049" w:rsidRPr="00D42049">
        <w:rPr>
          <w:sz w:val="24"/>
          <w:szCs w:val="24"/>
        </w:rPr>
        <w:t>poprawi si</w:t>
      </w:r>
      <w:r w:rsidR="00D42049">
        <w:rPr>
          <w:sz w:val="24"/>
          <w:szCs w:val="24"/>
        </w:rPr>
        <w:t>ę ich znajomość i przestrzeganie</w:t>
      </w:r>
      <w:r w:rsidR="00D42049" w:rsidRPr="00D42049">
        <w:rPr>
          <w:sz w:val="24"/>
          <w:szCs w:val="24"/>
        </w:rPr>
        <w:t xml:space="preserve"> praw człowieka</w:t>
      </w:r>
      <w:r w:rsidRPr="002F7D5A">
        <w:rPr>
          <w:sz w:val="24"/>
          <w:szCs w:val="24"/>
        </w:rPr>
        <w:t xml:space="preserve">. Państwa członkowskie powinny również zachęcać i, </w:t>
      </w:r>
      <w:r w:rsidR="00B81856" w:rsidRPr="002F7D5A">
        <w:rPr>
          <w:sz w:val="24"/>
          <w:szCs w:val="24"/>
        </w:rPr>
        <w:t xml:space="preserve">gdy jest to konieczne, </w:t>
      </w:r>
      <w:r w:rsidRPr="002F7D5A">
        <w:rPr>
          <w:sz w:val="24"/>
          <w:szCs w:val="24"/>
        </w:rPr>
        <w:t>wymagać od takich przedsiębiorstw</w:t>
      </w:r>
      <w:r w:rsidR="007161F1" w:rsidRPr="002F7D5A">
        <w:rPr>
          <w:sz w:val="24"/>
          <w:szCs w:val="24"/>
        </w:rPr>
        <w:t xml:space="preserve"> </w:t>
      </w:r>
      <w:r w:rsidR="00D42049">
        <w:rPr>
          <w:sz w:val="24"/>
          <w:szCs w:val="24"/>
        </w:rPr>
        <w:t>przedstawiania</w:t>
      </w:r>
      <w:r w:rsidR="006D53B2">
        <w:rPr>
          <w:sz w:val="24"/>
          <w:szCs w:val="24"/>
        </w:rPr>
        <w:t>, regularnie lub w miarę potrzeby,</w:t>
      </w:r>
      <w:r w:rsidR="006D53B2" w:rsidRPr="002F7D5A" w:rsidDel="006D53B2">
        <w:rPr>
          <w:sz w:val="24"/>
          <w:szCs w:val="24"/>
        </w:rPr>
        <w:t xml:space="preserve"> </w:t>
      </w:r>
      <w:r w:rsidR="00544F2C" w:rsidRPr="002F7D5A">
        <w:rPr>
          <w:sz w:val="24"/>
          <w:szCs w:val="24"/>
        </w:rPr>
        <w:t>informacji</w:t>
      </w:r>
      <w:r w:rsidRPr="002F7D5A">
        <w:rPr>
          <w:sz w:val="24"/>
          <w:szCs w:val="24"/>
        </w:rPr>
        <w:t xml:space="preserve"> </w:t>
      </w:r>
      <w:r w:rsidR="00D14C0E">
        <w:rPr>
          <w:sz w:val="24"/>
          <w:szCs w:val="24"/>
        </w:rPr>
        <w:t xml:space="preserve">o podejmowanych działaniach </w:t>
      </w:r>
      <w:r w:rsidR="003A067A">
        <w:rPr>
          <w:sz w:val="24"/>
          <w:szCs w:val="24"/>
        </w:rPr>
        <w:t xml:space="preserve">w zakresie odpowiedzialności biznesu </w:t>
      </w:r>
      <w:r w:rsidR="00D17E2A" w:rsidRPr="002F7D5A">
        <w:rPr>
          <w:sz w:val="24"/>
          <w:szCs w:val="24"/>
        </w:rPr>
        <w:t>za poszanowanie</w:t>
      </w:r>
      <w:r w:rsidRPr="002F7D5A">
        <w:rPr>
          <w:sz w:val="24"/>
          <w:szCs w:val="24"/>
        </w:rPr>
        <w:t xml:space="preserve"> praw człowieka.</w:t>
      </w:r>
    </w:p>
    <w:p w:rsidR="00544F2C" w:rsidRPr="002F7D5A" w:rsidRDefault="00544F2C" w:rsidP="00E7396B">
      <w:pPr>
        <w:pStyle w:val="Akapitzlist"/>
        <w:numPr>
          <w:ilvl w:val="0"/>
          <w:numId w:val="5"/>
        </w:numPr>
        <w:spacing w:before="120" w:after="120" w:line="240" w:lineRule="auto"/>
        <w:contextualSpacing w:val="0"/>
        <w:jc w:val="both"/>
        <w:rPr>
          <w:sz w:val="24"/>
          <w:szCs w:val="24"/>
        </w:rPr>
      </w:pPr>
      <w:r w:rsidRPr="002F7D5A">
        <w:rPr>
          <w:sz w:val="24"/>
          <w:szCs w:val="24"/>
        </w:rPr>
        <w:t xml:space="preserve">Państwa członkowskie </w:t>
      </w:r>
      <w:r w:rsidR="00265AB7" w:rsidRPr="002F7D5A">
        <w:rPr>
          <w:sz w:val="24"/>
          <w:szCs w:val="24"/>
        </w:rPr>
        <w:t xml:space="preserve">powinny podejmować dodatkowe </w:t>
      </w:r>
      <w:r w:rsidR="001A5C45">
        <w:rPr>
          <w:sz w:val="24"/>
          <w:szCs w:val="24"/>
        </w:rPr>
        <w:t xml:space="preserve">działania </w:t>
      </w:r>
      <w:r w:rsidR="00265AB7" w:rsidRPr="002F7D5A">
        <w:rPr>
          <w:sz w:val="24"/>
          <w:szCs w:val="24"/>
        </w:rPr>
        <w:t>w celu zapewnienia ochrony przed naruszaniem praw człowieka przez przedsiębiorstwa</w:t>
      </w:r>
      <w:r w:rsidR="00925945" w:rsidRPr="002F7D5A">
        <w:rPr>
          <w:sz w:val="24"/>
          <w:szCs w:val="24"/>
        </w:rPr>
        <w:t xml:space="preserve">, </w:t>
      </w:r>
      <w:r w:rsidR="00265AB7" w:rsidRPr="002F7D5A">
        <w:rPr>
          <w:sz w:val="24"/>
          <w:szCs w:val="24"/>
        </w:rPr>
        <w:t xml:space="preserve">w tym </w:t>
      </w:r>
      <w:r w:rsidR="001027EF">
        <w:rPr>
          <w:sz w:val="24"/>
          <w:szCs w:val="24"/>
        </w:rPr>
        <w:t xml:space="preserve">w stosownych przypadkach </w:t>
      </w:r>
      <w:r w:rsidR="00265AB7" w:rsidRPr="002F7D5A">
        <w:rPr>
          <w:sz w:val="24"/>
          <w:szCs w:val="24"/>
        </w:rPr>
        <w:t>poprzez wymaganie zachowania należytej staranności w zakresie przestrzegania praw człowieka, która może być włączona do istniejących procedur należytej staranności, gdy państwa członkowskie:</w:t>
      </w:r>
    </w:p>
    <w:p w:rsidR="00B759A1" w:rsidRPr="00CF5D9F" w:rsidRDefault="00B759A1" w:rsidP="00E7396B">
      <w:pPr>
        <w:pStyle w:val="Akapitzlist"/>
        <w:numPr>
          <w:ilvl w:val="0"/>
          <w:numId w:val="16"/>
        </w:numPr>
        <w:spacing w:before="120" w:after="120" w:line="240" w:lineRule="auto"/>
        <w:contextualSpacing w:val="0"/>
        <w:jc w:val="both"/>
        <w:rPr>
          <w:sz w:val="24"/>
          <w:szCs w:val="24"/>
        </w:rPr>
      </w:pPr>
      <w:r w:rsidRPr="00CF5D9F">
        <w:rPr>
          <w:sz w:val="24"/>
          <w:szCs w:val="24"/>
        </w:rPr>
        <w:t>posiadają lub kontrolują przedsiębiorstwa;</w:t>
      </w:r>
    </w:p>
    <w:p w:rsidR="000A7CB4" w:rsidRPr="002F7D5A" w:rsidRDefault="00D261CF" w:rsidP="00E7396B">
      <w:pPr>
        <w:pStyle w:val="Akapitzlist"/>
        <w:numPr>
          <w:ilvl w:val="0"/>
          <w:numId w:val="9"/>
        </w:numPr>
        <w:spacing w:before="120" w:after="120" w:line="240" w:lineRule="auto"/>
        <w:contextualSpacing w:val="0"/>
        <w:jc w:val="both"/>
        <w:rPr>
          <w:sz w:val="24"/>
          <w:szCs w:val="24"/>
        </w:rPr>
      </w:pPr>
      <w:r w:rsidRPr="002F7D5A">
        <w:rPr>
          <w:sz w:val="24"/>
          <w:szCs w:val="24"/>
        </w:rPr>
        <w:t xml:space="preserve">udzielają </w:t>
      </w:r>
      <w:r w:rsidR="001027EF">
        <w:rPr>
          <w:sz w:val="24"/>
          <w:szCs w:val="24"/>
        </w:rPr>
        <w:t>istotnego</w:t>
      </w:r>
      <w:r w:rsidR="001027EF" w:rsidRPr="002F7D5A">
        <w:rPr>
          <w:sz w:val="24"/>
          <w:szCs w:val="24"/>
        </w:rPr>
        <w:t xml:space="preserve"> </w:t>
      </w:r>
      <w:r w:rsidRPr="002F7D5A">
        <w:rPr>
          <w:sz w:val="24"/>
          <w:szCs w:val="24"/>
        </w:rPr>
        <w:t xml:space="preserve">wsparcia i </w:t>
      </w:r>
      <w:r w:rsidR="00B759A1" w:rsidRPr="002F7D5A">
        <w:rPr>
          <w:sz w:val="24"/>
          <w:szCs w:val="24"/>
        </w:rPr>
        <w:t xml:space="preserve">świadczą </w:t>
      </w:r>
      <w:r w:rsidRPr="002F7D5A">
        <w:rPr>
          <w:sz w:val="24"/>
          <w:szCs w:val="24"/>
        </w:rPr>
        <w:t>usług</w:t>
      </w:r>
      <w:r w:rsidR="00B759A1" w:rsidRPr="002F7D5A">
        <w:rPr>
          <w:sz w:val="24"/>
          <w:szCs w:val="24"/>
        </w:rPr>
        <w:t xml:space="preserve">i </w:t>
      </w:r>
      <w:r w:rsidRPr="002F7D5A">
        <w:rPr>
          <w:sz w:val="24"/>
          <w:szCs w:val="24"/>
        </w:rPr>
        <w:t xml:space="preserve">przedsiębiorstwom za pośrednictwem agencji, takich jak agencje </w:t>
      </w:r>
      <w:r w:rsidR="00B759A1" w:rsidRPr="002F7D5A">
        <w:rPr>
          <w:sz w:val="24"/>
          <w:szCs w:val="24"/>
        </w:rPr>
        <w:t xml:space="preserve">udzielające </w:t>
      </w:r>
      <w:r w:rsidRPr="002F7D5A">
        <w:rPr>
          <w:sz w:val="24"/>
          <w:szCs w:val="24"/>
        </w:rPr>
        <w:t xml:space="preserve">kredytów eksportowych i </w:t>
      </w:r>
      <w:r w:rsidR="00B759A1" w:rsidRPr="002F7D5A">
        <w:rPr>
          <w:sz w:val="24"/>
          <w:szCs w:val="24"/>
        </w:rPr>
        <w:t>rządowych ubezpieczeń inwestycji lub gwarancji</w:t>
      </w:r>
      <w:r w:rsidR="005340F0" w:rsidRPr="002F7D5A">
        <w:rPr>
          <w:sz w:val="24"/>
          <w:szCs w:val="24"/>
        </w:rPr>
        <w:t>;</w:t>
      </w:r>
    </w:p>
    <w:p w:rsidR="005340F0" w:rsidRPr="002F7D5A" w:rsidRDefault="00C10426" w:rsidP="00E7396B">
      <w:pPr>
        <w:pStyle w:val="Akapitzlist"/>
        <w:numPr>
          <w:ilvl w:val="0"/>
          <w:numId w:val="9"/>
        </w:numPr>
        <w:spacing w:before="120" w:after="120" w:line="240" w:lineRule="auto"/>
        <w:contextualSpacing w:val="0"/>
        <w:jc w:val="both"/>
        <w:rPr>
          <w:sz w:val="24"/>
          <w:szCs w:val="24"/>
        </w:rPr>
      </w:pPr>
      <w:r>
        <w:rPr>
          <w:sz w:val="24"/>
          <w:szCs w:val="24"/>
        </w:rPr>
        <w:t>przyznają zezwolenia na wywóz</w:t>
      </w:r>
      <w:r w:rsidR="005340F0" w:rsidRPr="002F7D5A">
        <w:rPr>
          <w:sz w:val="24"/>
          <w:szCs w:val="24"/>
        </w:rPr>
        <w:t xml:space="preserve"> przedsiębiorstwom;</w:t>
      </w:r>
    </w:p>
    <w:p w:rsidR="005340F0" w:rsidRPr="002F7D5A" w:rsidRDefault="005340F0" w:rsidP="00E7396B">
      <w:pPr>
        <w:pStyle w:val="Akapitzlist"/>
        <w:numPr>
          <w:ilvl w:val="0"/>
          <w:numId w:val="9"/>
        </w:numPr>
        <w:spacing w:before="120" w:after="120" w:line="240" w:lineRule="auto"/>
        <w:contextualSpacing w:val="0"/>
        <w:jc w:val="both"/>
        <w:rPr>
          <w:sz w:val="24"/>
          <w:szCs w:val="24"/>
        </w:rPr>
      </w:pPr>
      <w:r w:rsidRPr="002F7D5A">
        <w:rPr>
          <w:sz w:val="24"/>
          <w:szCs w:val="24"/>
        </w:rPr>
        <w:t>przeprowadzają handlowe transakcje z przedsiębiorstwami, w tym poprzez zawarcie umowy w sprawie udzielenia zamówienia publicznego;</w:t>
      </w:r>
    </w:p>
    <w:p w:rsidR="005340F0" w:rsidRPr="002F7D5A" w:rsidRDefault="005340F0" w:rsidP="00E7396B">
      <w:pPr>
        <w:pStyle w:val="Akapitzlist"/>
        <w:numPr>
          <w:ilvl w:val="0"/>
          <w:numId w:val="9"/>
        </w:numPr>
        <w:spacing w:before="120" w:after="120" w:line="240" w:lineRule="auto"/>
        <w:contextualSpacing w:val="0"/>
        <w:jc w:val="both"/>
        <w:rPr>
          <w:sz w:val="24"/>
          <w:szCs w:val="24"/>
        </w:rPr>
      </w:pPr>
      <w:r w:rsidRPr="002F7D5A">
        <w:rPr>
          <w:sz w:val="24"/>
          <w:szCs w:val="24"/>
        </w:rPr>
        <w:t>prywatyzują</w:t>
      </w:r>
      <w:r w:rsidR="00B759A1" w:rsidRPr="002F7D5A">
        <w:rPr>
          <w:sz w:val="24"/>
          <w:szCs w:val="24"/>
        </w:rPr>
        <w:t xml:space="preserve"> świadczenie</w:t>
      </w:r>
      <w:r w:rsidRPr="002F7D5A">
        <w:rPr>
          <w:sz w:val="24"/>
          <w:szCs w:val="24"/>
        </w:rPr>
        <w:t xml:space="preserve"> usług, które mogą mieć wpływ na korzystanie z praw człowieka.</w:t>
      </w:r>
    </w:p>
    <w:p w:rsidR="005340F0" w:rsidRPr="002F7D5A" w:rsidRDefault="005340F0" w:rsidP="00E7396B">
      <w:pPr>
        <w:spacing w:before="120" w:after="120" w:line="240" w:lineRule="auto"/>
        <w:ind w:left="993"/>
        <w:jc w:val="both"/>
        <w:rPr>
          <w:sz w:val="24"/>
          <w:szCs w:val="24"/>
        </w:rPr>
      </w:pPr>
      <w:r w:rsidRPr="002F7D5A">
        <w:rPr>
          <w:sz w:val="24"/>
          <w:szCs w:val="24"/>
        </w:rPr>
        <w:t xml:space="preserve">Państwa członkowskie powinny oceniać podjęte </w:t>
      </w:r>
      <w:r w:rsidR="00DB61C6" w:rsidRPr="002F7D5A">
        <w:rPr>
          <w:sz w:val="24"/>
          <w:szCs w:val="24"/>
        </w:rPr>
        <w:t>działania</w:t>
      </w:r>
      <w:r w:rsidR="00D70857" w:rsidRPr="002F7D5A">
        <w:rPr>
          <w:sz w:val="24"/>
          <w:szCs w:val="24"/>
        </w:rPr>
        <w:t xml:space="preserve"> i</w:t>
      </w:r>
      <w:r w:rsidR="00650C89">
        <w:rPr>
          <w:sz w:val="24"/>
          <w:szCs w:val="24"/>
        </w:rPr>
        <w:t xml:space="preserve"> w miarę potrzeby </w:t>
      </w:r>
      <w:r w:rsidR="001A5C45">
        <w:rPr>
          <w:sz w:val="24"/>
          <w:szCs w:val="24"/>
        </w:rPr>
        <w:t xml:space="preserve">reagować na wszelkie </w:t>
      </w:r>
      <w:r w:rsidR="00DB61C6" w:rsidRPr="002F7D5A">
        <w:rPr>
          <w:sz w:val="24"/>
          <w:szCs w:val="24"/>
        </w:rPr>
        <w:t>nieprawidłowości</w:t>
      </w:r>
      <w:r w:rsidRPr="002F7D5A">
        <w:rPr>
          <w:sz w:val="24"/>
          <w:szCs w:val="24"/>
        </w:rPr>
        <w:t xml:space="preserve">. </w:t>
      </w:r>
      <w:r w:rsidR="00D70857" w:rsidRPr="002F7D5A">
        <w:rPr>
          <w:sz w:val="24"/>
          <w:szCs w:val="24"/>
        </w:rPr>
        <w:t>Państwa powinny</w:t>
      </w:r>
      <w:r w:rsidRPr="002F7D5A">
        <w:rPr>
          <w:sz w:val="24"/>
          <w:szCs w:val="24"/>
        </w:rPr>
        <w:t xml:space="preserve"> </w:t>
      </w:r>
      <w:r w:rsidR="00D70857" w:rsidRPr="002F7D5A">
        <w:rPr>
          <w:sz w:val="24"/>
          <w:szCs w:val="24"/>
        </w:rPr>
        <w:t>prze</w:t>
      </w:r>
      <w:r w:rsidR="00DB61C6" w:rsidRPr="002F7D5A">
        <w:rPr>
          <w:sz w:val="24"/>
          <w:szCs w:val="24"/>
        </w:rPr>
        <w:t>widzieć</w:t>
      </w:r>
      <w:r w:rsidR="001027EF">
        <w:rPr>
          <w:sz w:val="24"/>
          <w:szCs w:val="24"/>
        </w:rPr>
        <w:t xml:space="preserve"> wyciąganie</w:t>
      </w:r>
      <w:r w:rsidR="00DB61C6" w:rsidRPr="002F7D5A">
        <w:rPr>
          <w:sz w:val="24"/>
          <w:szCs w:val="24"/>
        </w:rPr>
        <w:t xml:space="preserve"> odpowiedni</w:t>
      </w:r>
      <w:r w:rsidR="001027EF">
        <w:rPr>
          <w:sz w:val="24"/>
          <w:szCs w:val="24"/>
        </w:rPr>
        <w:t>ch</w:t>
      </w:r>
      <w:r w:rsidR="00DB61C6" w:rsidRPr="002F7D5A">
        <w:rPr>
          <w:sz w:val="24"/>
          <w:szCs w:val="24"/>
        </w:rPr>
        <w:t xml:space="preserve"> konsekwencj</w:t>
      </w:r>
      <w:r w:rsidR="001027EF">
        <w:rPr>
          <w:sz w:val="24"/>
          <w:szCs w:val="24"/>
        </w:rPr>
        <w:t>i</w:t>
      </w:r>
      <w:r w:rsidRPr="002F7D5A">
        <w:rPr>
          <w:sz w:val="24"/>
          <w:szCs w:val="24"/>
        </w:rPr>
        <w:t xml:space="preserve"> </w:t>
      </w:r>
      <w:r w:rsidR="00BD2CB7" w:rsidRPr="002F7D5A">
        <w:rPr>
          <w:sz w:val="24"/>
          <w:szCs w:val="24"/>
        </w:rPr>
        <w:t>w przypadku nieprzestrzegania praw człowieka.</w:t>
      </w:r>
    </w:p>
    <w:p w:rsidR="00C10426" w:rsidRDefault="00D70857" w:rsidP="00E7396B">
      <w:pPr>
        <w:pStyle w:val="Akapitzlist"/>
        <w:numPr>
          <w:ilvl w:val="0"/>
          <w:numId w:val="5"/>
        </w:numPr>
        <w:spacing w:before="120" w:after="120" w:line="240" w:lineRule="auto"/>
        <w:ind w:left="924" w:hanging="357"/>
        <w:jc w:val="both"/>
        <w:rPr>
          <w:sz w:val="24"/>
          <w:szCs w:val="24"/>
        </w:rPr>
      </w:pPr>
      <w:r w:rsidRPr="000D2494">
        <w:rPr>
          <w:sz w:val="24"/>
          <w:szCs w:val="24"/>
        </w:rPr>
        <w:t xml:space="preserve">Przy zawieraniu </w:t>
      </w:r>
      <w:r w:rsidR="00650C89" w:rsidRPr="000D2494">
        <w:rPr>
          <w:sz w:val="24"/>
          <w:szCs w:val="24"/>
        </w:rPr>
        <w:t xml:space="preserve">umów handlowych i inwestycyjnych oraz </w:t>
      </w:r>
      <w:r w:rsidR="00361550" w:rsidRPr="000D2494">
        <w:rPr>
          <w:sz w:val="24"/>
          <w:szCs w:val="24"/>
        </w:rPr>
        <w:t xml:space="preserve">innych </w:t>
      </w:r>
      <w:r w:rsidR="000D2494">
        <w:rPr>
          <w:sz w:val="24"/>
          <w:szCs w:val="24"/>
        </w:rPr>
        <w:t xml:space="preserve">właściwych </w:t>
      </w:r>
      <w:r w:rsidR="00361550" w:rsidRPr="000D2494">
        <w:rPr>
          <w:sz w:val="24"/>
          <w:szCs w:val="24"/>
        </w:rPr>
        <w:t xml:space="preserve">konwencji oraz w </w:t>
      </w:r>
      <w:r w:rsidR="00095CFC" w:rsidRPr="000D2494">
        <w:rPr>
          <w:sz w:val="24"/>
          <w:szCs w:val="24"/>
        </w:rPr>
        <w:t xml:space="preserve">okresie </w:t>
      </w:r>
      <w:r w:rsidR="00361550" w:rsidRPr="000D2494">
        <w:rPr>
          <w:sz w:val="24"/>
          <w:szCs w:val="24"/>
        </w:rPr>
        <w:t>ich obowiązywania</w:t>
      </w:r>
      <w:r w:rsidRPr="000D2494">
        <w:rPr>
          <w:sz w:val="24"/>
          <w:szCs w:val="24"/>
        </w:rPr>
        <w:t xml:space="preserve"> państwa członkow</w:t>
      </w:r>
      <w:r w:rsidR="00CC2D0F" w:rsidRPr="000D2494">
        <w:rPr>
          <w:sz w:val="24"/>
          <w:szCs w:val="24"/>
        </w:rPr>
        <w:t xml:space="preserve">skie powinny rozważyć </w:t>
      </w:r>
      <w:r w:rsidR="00B5733D" w:rsidRPr="000D2494">
        <w:rPr>
          <w:sz w:val="24"/>
          <w:szCs w:val="24"/>
        </w:rPr>
        <w:t>ich potencjalny</w:t>
      </w:r>
      <w:r w:rsidR="00CC2D0F" w:rsidRPr="000D2494">
        <w:rPr>
          <w:sz w:val="24"/>
          <w:szCs w:val="24"/>
        </w:rPr>
        <w:t xml:space="preserve"> wpływ</w:t>
      </w:r>
      <w:r w:rsidRPr="000D2494">
        <w:rPr>
          <w:sz w:val="24"/>
          <w:szCs w:val="24"/>
        </w:rPr>
        <w:t xml:space="preserve"> </w:t>
      </w:r>
      <w:r w:rsidR="00CC2D0F" w:rsidRPr="000D2494">
        <w:rPr>
          <w:sz w:val="24"/>
          <w:szCs w:val="24"/>
        </w:rPr>
        <w:t xml:space="preserve">na </w:t>
      </w:r>
      <w:r w:rsidRPr="000D2494">
        <w:rPr>
          <w:sz w:val="24"/>
          <w:szCs w:val="24"/>
        </w:rPr>
        <w:t>praw</w:t>
      </w:r>
      <w:r w:rsidR="00CC2D0F" w:rsidRPr="000D2494">
        <w:rPr>
          <w:sz w:val="24"/>
          <w:szCs w:val="24"/>
        </w:rPr>
        <w:t>a</w:t>
      </w:r>
      <w:r w:rsidRPr="000D2494">
        <w:rPr>
          <w:sz w:val="24"/>
          <w:szCs w:val="24"/>
        </w:rPr>
        <w:t xml:space="preserve"> człowieka i podjąć odpowiednie </w:t>
      </w:r>
      <w:r w:rsidR="00095CFC" w:rsidRPr="000D2494">
        <w:rPr>
          <w:sz w:val="24"/>
          <w:szCs w:val="24"/>
        </w:rPr>
        <w:t>działania</w:t>
      </w:r>
      <w:r w:rsidR="00304F65">
        <w:rPr>
          <w:sz w:val="24"/>
          <w:szCs w:val="24"/>
        </w:rPr>
        <w:t xml:space="preserve"> </w:t>
      </w:r>
      <w:r w:rsidR="00B5733D" w:rsidRPr="000D2494">
        <w:rPr>
          <w:sz w:val="24"/>
          <w:szCs w:val="24"/>
        </w:rPr>
        <w:t xml:space="preserve">w celu </w:t>
      </w:r>
      <w:r w:rsidR="000D2494" w:rsidRPr="000D2494">
        <w:rPr>
          <w:sz w:val="24"/>
          <w:szCs w:val="24"/>
        </w:rPr>
        <w:t xml:space="preserve">złagodzenia zidentyfikowanych zagrożeń </w:t>
      </w:r>
      <w:r w:rsidR="000D2494">
        <w:rPr>
          <w:sz w:val="24"/>
          <w:szCs w:val="24"/>
        </w:rPr>
        <w:t xml:space="preserve">spowodowanych </w:t>
      </w:r>
      <w:r w:rsidR="000D2494" w:rsidRPr="000D2494">
        <w:rPr>
          <w:sz w:val="24"/>
          <w:szCs w:val="24"/>
        </w:rPr>
        <w:t>negatywnym wpływem na prawa człowieka</w:t>
      </w:r>
      <w:r w:rsidR="000D2494">
        <w:rPr>
          <w:sz w:val="24"/>
          <w:szCs w:val="24"/>
        </w:rPr>
        <w:t xml:space="preserve"> </w:t>
      </w:r>
      <w:r w:rsidR="000D2494" w:rsidRPr="00BA479F">
        <w:rPr>
          <w:sz w:val="24"/>
          <w:szCs w:val="24"/>
        </w:rPr>
        <w:t>i zapobiegania im,</w:t>
      </w:r>
      <w:r w:rsidR="000D2494" w:rsidRPr="000D2494">
        <w:t xml:space="preserve"> </w:t>
      </w:r>
      <w:r w:rsidR="000D2494" w:rsidRPr="00BA479F">
        <w:rPr>
          <w:sz w:val="24"/>
          <w:szCs w:val="24"/>
        </w:rPr>
        <w:t>w tym poprzez włączenie klauzul dotyczących praw człowieka</w:t>
      </w:r>
      <w:r w:rsidR="000D2494">
        <w:rPr>
          <w:sz w:val="24"/>
          <w:szCs w:val="24"/>
        </w:rPr>
        <w:t>.</w:t>
      </w:r>
      <w:r w:rsidR="000D2494" w:rsidRPr="00BA479F">
        <w:rPr>
          <w:sz w:val="24"/>
          <w:szCs w:val="24"/>
        </w:rPr>
        <w:t xml:space="preserve"> </w:t>
      </w:r>
    </w:p>
    <w:p w:rsidR="00452465" w:rsidRPr="00C10426" w:rsidRDefault="00452465" w:rsidP="00E7396B">
      <w:pPr>
        <w:pStyle w:val="Akapitzlist"/>
        <w:numPr>
          <w:ilvl w:val="0"/>
          <w:numId w:val="5"/>
        </w:numPr>
        <w:spacing w:before="120" w:after="120" w:line="240" w:lineRule="auto"/>
        <w:ind w:left="924" w:hanging="357"/>
        <w:jc w:val="both"/>
        <w:rPr>
          <w:sz w:val="24"/>
          <w:szCs w:val="24"/>
        </w:rPr>
      </w:pPr>
      <w:r w:rsidRPr="00C10426">
        <w:rPr>
          <w:sz w:val="24"/>
          <w:szCs w:val="24"/>
        </w:rPr>
        <w:t>Aby nie ułatwiać wymierzania kary śmierci lub tortur w krajach trzecich poprzez dostarczanie towarów, które mogłyby być użyte do wykonywania takich czynności, pa</w:t>
      </w:r>
      <w:r w:rsidR="00603924" w:rsidRPr="00C10426">
        <w:rPr>
          <w:sz w:val="24"/>
          <w:szCs w:val="24"/>
        </w:rPr>
        <w:t>ństwa członkowskie powinny zagwarantować, że</w:t>
      </w:r>
      <w:r w:rsidRPr="00C10426">
        <w:rPr>
          <w:sz w:val="24"/>
          <w:szCs w:val="24"/>
        </w:rPr>
        <w:t xml:space="preserve"> przedsiębiorstwa mające siedzibę w </w:t>
      </w:r>
      <w:r w:rsidR="00603924" w:rsidRPr="00C10426">
        <w:rPr>
          <w:sz w:val="24"/>
          <w:szCs w:val="24"/>
        </w:rPr>
        <w:t>obrębie ich jurysdykcji nie handlują</w:t>
      </w:r>
      <w:r w:rsidRPr="00C10426">
        <w:rPr>
          <w:sz w:val="24"/>
          <w:szCs w:val="24"/>
        </w:rPr>
        <w:t xml:space="preserve"> towarami, które nie mają innego zastosowania </w:t>
      </w:r>
      <w:r w:rsidR="00BA479F" w:rsidRPr="00C10426">
        <w:rPr>
          <w:sz w:val="24"/>
          <w:szCs w:val="24"/>
        </w:rPr>
        <w:t>poza</w:t>
      </w:r>
      <w:r w:rsidRPr="00C10426">
        <w:rPr>
          <w:sz w:val="24"/>
          <w:szCs w:val="24"/>
        </w:rPr>
        <w:t xml:space="preserve"> wykonywani</w:t>
      </w:r>
      <w:r w:rsidR="00BA479F" w:rsidRPr="00C10426">
        <w:rPr>
          <w:sz w:val="24"/>
          <w:szCs w:val="24"/>
        </w:rPr>
        <w:t>em</w:t>
      </w:r>
      <w:r w:rsidRPr="00C10426">
        <w:rPr>
          <w:sz w:val="24"/>
          <w:szCs w:val="24"/>
        </w:rPr>
        <w:t xml:space="preserve"> kary śmierci, tortur lub innego okrutnego, nieludzkiego lub poniżającego traktowania albo karania.</w:t>
      </w:r>
    </w:p>
    <w:p w:rsidR="00452465" w:rsidRPr="002F7D5A" w:rsidRDefault="00390C4D" w:rsidP="00E7396B">
      <w:pPr>
        <w:pStyle w:val="Akapitzlist"/>
        <w:numPr>
          <w:ilvl w:val="0"/>
          <w:numId w:val="5"/>
        </w:numPr>
        <w:spacing w:before="120" w:after="120" w:line="240" w:lineRule="auto"/>
        <w:contextualSpacing w:val="0"/>
        <w:jc w:val="both"/>
        <w:rPr>
          <w:sz w:val="24"/>
          <w:szCs w:val="24"/>
        </w:rPr>
      </w:pPr>
      <w:r w:rsidRPr="002F7D5A">
        <w:rPr>
          <w:sz w:val="24"/>
          <w:szCs w:val="24"/>
        </w:rPr>
        <w:t xml:space="preserve">Państwa członkowskie powinny, jeśli przedsiębiorstwa, o których mowa w paragrafie 20 są reprezentowane </w:t>
      </w:r>
      <w:r w:rsidRPr="00EB0E5D">
        <w:rPr>
          <w:sz w:val="24"/>
          <w:szCs w:val="24"/>
        </w:rPr>
        <w:t xml:space="preserve">w misji </w:t>
      </w:r>
      <w:r w:rsidR="00603924" w:rsidRPr="00EB0E5D">
        <w:rPr>
          <w:sz w:val="24"/>
          <w:szCs w:val="24"/>
        </w:rPr>
        <w:t>handlowej</w:t>
      </w:r>
      <w:r w:rsidR="00603924" w:rsidRPr="002F7D5A">
        <w:rPr>
          <w:sz w:val="24"/>
          <w:szCs w:val="24"/>
        </w:rPr>
        <w:t xml:space="preserve"> w</w:t>
      </w:r>
      <w:r w:rsidRPr="002F7D5A">
        <w:rPr>
          <w:sz w:val="24"/>
          <w:szCs w:val="24"/>
        </w:rPr>
        <w:t xml:space="preserve"> państw</w:t>
      </w:r>
      <w:r w:rsidR="00603924" w:rsidRPr="002F7D5A">
        <w:rPr>
          <w:sz w:val="24"/>
          <w:szCs w:val="24"/>
        </w:rPr>
        <w:t>ach</w:t>
      </w:r>
      <w:r w:rsidRPr="002F7D5A">
        <w:rPr>
          <w:sz w:val="24"/>
          <w:szCs w:val="24"/>
        </w:rPr>
        <w:t xml:space="preserve"> członkowskich i państw</w:t>
      </w:r>
      <w:r w:rsidR="00603924" w:rsidRPr="002F7D5A">
        <w:rPr>
          <w:sz w:val="24"/>
          <w:szCs w:val="24"/>
        </w:rPr>
        <w:t>ach</w:t>
      </w:r>
      <w:r w:rsidRPr="002F7D5A">
        <w:rPr>
          <w:sz w:val="24"/>
          <w:szCs w:val="24"/>
        </w:rPr>
        <w:t xml:space="preserve"> trzecich, </w:t>
      </w:r>
      <w:r w:rsidR="0018130F" w:rsidRPr="002F7D5A">
        <w:rPr>
          <w:sz w:val="24"/>
          <w:szCs w:val="24"/>
        </w:rPr>
        <w:t>uwzględnić</w:t>
      </w:r>
      <w:r w:rsidRPr="002F7D5A">
        <w:rPr>
          <w:sz w:val="24"/>
          <w:szCs w:val="24"/>
        </w:rPr>
        <w:t xml:space="preserve"> i omówić </w:t>
      </w:r>
      <w:r w:rsidR="009701E4" w:rsidRPr="002F7D5A">
        <w:rPr>
          <w:sz w:val="24"/>
          <w:szCs w:val="24"/>
        </w:rPr>
        <w:t>kwestię potencjalnego</w:t>
      </w:r>
      <w:r w:rsidR="00BD0203" w:rsidRPr="002F7D5A">
        <w:rPr>
          <w:sz w:val="24"/>
          <w:szCs w:val="24"/>
        </w:rPr>
        <w:t xml:space="preserve"> </w:t>
      </w:r>
      <w:r w:rsidR="009701E4" w:rsidRPr="002F7D5A">
        <w:rPr>
          <w:sz w:val="24"/>
          <w:szCs w:val="24"/>
        </w:rPr>
        <w:t>negatywnego wpływu na prawa człowieka</w:t>
      </w:r>
      <w:r w:rsidR="00BD0203" w:rsidRPr="002F7D5A">
        <w:rPr>
          <w:sz w:val="24"/>
          <w:szCs w:val="24"/>
        </w:rPr>
        <w:t xml:space="preserve">, </w:t>
      </w:r>
      <w:r w:rsidR="0018130F" w:rsidRPr="002F7D5A">
        <w:rPr>
          <w:sz w:val="24"/>
          <w:szCs w:val="24"/>
        </w:rPr>
        <w:t xml:space="preserve">który </w:t>
      </w:r>
      <w:r w:rsidR="009701E4" w:rsidRPr="002F7D5A">
        <w:rPr>
          <w:sz w:val="24"/>
          <w:szCs w:val="24"/>
        </w:rPr>
        <w:t xml:space="preserve">mogą </w:t>
      </w:r>
      <w:r w:rsidR="0018130F" w:rsidRPr="002F7D5A">
        <w:rPr>
          <w:sz w:val="24"/>
          <w:szCs w:val="24"/>
        </w:rPr>
        <w:t xml:space="preserve">wywołać </w:t>
      </w:r>
      <w:r w:rsidR="00BD0203" w:rsidRPr="002F7D5A">
        <w:rPr>
          <w:sz w:val="24"/>
          <w:szCs w:val="24"/>
        </w:rPr>
        <w:t>przyszłe działania</w:t>
      </w:r>
      <w:r w:rsidRPr="002F7D5A">
        <w:rPr>
          <w:sz w:val="24"/>
          <w:szCs w:val="24"/>
        </w:rPr>
        <w:t xml:space="preserve"> w tych krajach</w:t>
      </w:r>
      <w:r w:rsidR="00BD0203" w:rsidRPr="002F7D5A">
        <w:rPr>
          <w:sz w:val="24"/>
          <w:szCs w:val="24"/>
        </w:rPr>
        <w:t xml:space="preserve">, </w:t>
      </w:r>
      <w:r w:rsidR="00BD0203" w:rsidRPr="002F7D5A">
        <w:rPr>
          <w:sz w:val="24"/>
          <w:szCs w:val="24"/>
        </w:rPr>
        <w:lastRenderedPageBreak/>
        <w:t>oraz powinny wymagać</w:t>
      </w:r>
      <w:r w:rsidRPr="002F7D5A">
        <w:rPr>
          <w:sz w:val="24"/>
          <w:szCs w:val="24"/>
        </w:rPr>
        <w:t xml:space="preserve"> od </w:t>
      </w:r>
      <w:r w:rsidR="00BD0203" w:rsidRPr="002F7D5A">
        <w:rPr>
          <w:sz w:val="24"/>
          <w:szCs w:val="24"/>
        </w:rPr>
        <w:t>uczestniczących przedsiębiorstw</w:t>
      </w:r>
      <w:r w:rsidRPr="002F7D5A">
        <w:rPr>
          <w:sz w:val="24"/>
          <w:szCs w:val="24"/>
        </w:rPr>
        <w:t xml:space="preserve"> przestrzegania </w:t>
      </w:r>
      <w:r w:rsidR="00BD0203" w:rsidRPr="002F7D5A">
        <w:rPr>
          <w:sz w:val="24"/>
          <w:szCs w:val="24"/>
        </w:rPr>
        <w:t>Wytycznych</w:t>
      </w:r>
      <w:r w:rsidRPr="002F7D5A">
        <w:rPr>
          <w:sz w:val="24"/>
          <w:szCs w:val="24"/>
        </w:rPr>
        <w:t xml:space="preserve"> ONZ </w:t>
      </w:r>
      <w:r w:rsidR="00BD0203" w:rsidRPr="002F7D5A">
        <w:rPr>
          <w:sz w:val="24"/>
          <w:szCs w:val="24"/>
        </w:rPr>
        <w:t>lub Wytycznych</w:t>
      </w:r>
      <w:r w:rsidRPr="002F7D5A">
        <w:rPr>
          <w:sz w:val="24"/>
          <w:szCs w:val="24"/>
        </w:rPr>
        <w:t xml:space="preserve"> dla p</w:t>
      </w:r>
      <w:r w:rsidR="00BD0203" w:rsidRPr="002F7D5A">
        <w:rPr>
          <w:sz w:val="24"/>
          <w:szCs w:val="24"/>
        </w:rPr>
        <w:t>rzedsiębiorstw wielonarodowych</w:t>
      </w:r>
      <w:r w:rsidR="00304F65">
        <w:rPr>
          <w:sz w:val="24"/>
          <w:szCs w:val="24"/>
        </w:rPr>
        <w:t xml:space="preserve"> </w:t>
      </w:r>
      <w:r w:rsidR="00BD0203" w:rsidRPr="002F7D5A">
        <w:rPr>
          <w:sz w:val="24"/>
          <w:szCs w:val="24"/>
        </w:rPr>
        <w:t>Organizacji</w:t>
      </w:r>
      <w:r w:rsidRPr="002F7D5A">
        <w:rPr>
          <w:sz w:val="24"/>
          <w:szCs w:val="24"/>
        </w:rPr>
        <w:t xml:space="preserve"> Współpracy Gospodarczej i Rozwoju (OECD).</w:t>
      </w:r>
    </w:p>
    <w:p w:rsidR="00F3256C" w:rsidRDefault="00BD0203" w:rsidP="00E7396B">
      <w:pPr>
        <w:pStyle w:val="Akapitzlist"/>
        <w:numPr>
          <w:ilvl w:val="0"/>
          <w:numId w:val="5"/>
        </w:numPr>
        <w:spacing w:before="120" w:after="120" w:line="240" w:lineRule="auto"/>
        <w:contextualSpacing w:val="0"/>
        <w:jc w:val="both"/>
        <w:rPr>
          <w:sz w:val="24"/>
          <w:szCs w:val="24"/>
        </w:rPr>
      </w:pPr>
      <w:r w:rsidRPr="00F3256C">
        <w:rPr>
          <w:sz w:val="24"/>
          <w:szCs w:val="24"/>
        </w:rPr>
        <w:t>Państwa członkowskie powinny doradzać, na przykład, za pośrednictwem właściwych min</w:t>
      </w:r>
      <w:r w:rsidR="00A34373" w:rsidRPr="00F3256C">
        <w:rPr>
          <w:sz w:val="24"/>
          <w:szCs w:val="24"/>
        </w:rPr>
        <w:t xml:space="preserve">isterstw lub </w:t>
      </w:r>
      <w:r w:rsidRPr="00F3256C">
        <w:rPr>
          <w:sz w:val="24"/>
          <w:szCs w:val="24"/>
        </w:rPr>
        <w:t>placówek</w:t>
      </w:r>
      <w:r w:rsidR="002F2078" w:rsidRPr="00F3256C">
        <w:rPr>
          <w:sz w:val="24"/>
          <w:szCs w:val="24"/>
        </w:rPr>
        <w:t xml:space="preserve"> dyplomatycznych i konsularnych</w:t>
      </w:r>
      <w:r w:rsidRPr="00F3256C">
        <w:rPr>
          <w:sz w:val="24"/>
          <w:szCs w:val="24"/>
        </w:rPr>
        <w:t xml:space="preserve">, przedsiębiorstwom, które zamierzają </w:t>
      </w:r>
      <w:r w:rsidR="002B010A" w:rsidRPr="00F3256C">
        <w:rPr>
          <w:sz w:val="24"/>
          <w:szCs w:val="24"/>
        </w:rPr>
        <w:t>lub</w:t>
      </w:r>
      <w:r w:rsidR="009327AB" w:rsidRPr="00F3256C">
        <w:rPr>
          <w:sz w:val="24"/>
          <w:szCs w:val="24"/>
        </w:rPr>
        <w:t xml:space="preserve"> prowadzą działalność </w:t>
      </w:r>
      <w:r w:rsidR="002B010A" w:rsidRPr="00F3256C">
        <w:rPr>
          <w:sz w:val="24"/>
          <w:szCs w:val="24"/>
        </w:rPr>
        <w:t>w kraju trzecim, w kwestiach</w:t>
      </w:r>
      <w:r w:rsidRPr="00F3256C">
        <w:rPr>
          <w:sz w:val="24"/>
          <w:szCs w:val="24"/>
        </w:rPr>
        <w:t xml:space="preserve"> przestrzegania praw człowie</w:t>
      </w:r>
      <w:r w:rsidR="002B010A" w:rsidRPr="00F3256C">
        <w:rPr>
          <w:sz w:val="24"/>
          <w:szCs w:val="24"/>
        </w:rPr>
        <w:t xml:space="preserve">ka, </w:t>
      </w:r>
      <w:r w:rsidR="009327AB" w:rsidRPr="00F3256C">
        <w:rPr>
          <w:sz w:val="24"/>
          <w:szCs w:val="24"/>
        </w:rPr>
        <w:t xml:space="preserve">a także wyzwań, </w:t>
      </w:r>
      <w:r w:rsidR="00741FA5" w:rsidRPr="00F3256C">
        <w:rPr>
          <w:sz w:val="24"/>
          <w:szCs w:val="24"/>
        </w:rPr>
        <w:t>z którymi muszą się zmierzyć</w:t>
      </w:r>
      <w:r w:rsidR="009327AB" w:rsidRPr="00F3256C">
        <w:rPr>
          <w:sz w:val="24"/>
          <w:szCs w:val="24"/>
        </w:rPr>
        <w:t xml:space="preserve"> osoby z grup lub populacji, które mogą być szczególnie</w:t>
      </w:r>
      <w:r w:rsidR="002B6B7B" w:rsidRPr="00F3256C">
        <w:rPr>
          <w:sz w:val="24"/>
          <w:szCs w:val="24"/>
        </w:rPr>
        <w:t xml:space="preserve"> </w:t>
      </w:r>
      <w:r w:rsidR="0007536B" w:rsidRPr="00F3256C">
        <w:rPr>
          <w:sz w:val="24"/>
          <w:szCs w:val="24"/>
        </w:rPr>
        <w:t>podatne</w:t>
      </w:r>
      <w:r w:rsidR="00EB0E5D" w:rsidRPr="00F3256C">
        <w:rPr>
          <w:sz w:val="24"/>
          <w:szCs w:val="24"/>
        </w:rPr>
        <w:t xml:space="preserve"> </w:t>
      </w:r>
      <w:r w:rsidR="009327AB" w:rsidRPr="00F3256C">
        <w:rPr>
          <w:sz w:val="24"/>
          <w:szCs w:val="24"/>
        </w:rPr>
        <w:t>lub narażone na ryzyko marginalizacji</w:t>
      </w:r>
      <w:r w:rsidR="002B010A" w:rsidRPr="00F3256C">
        <w:rPr>
          <w:sz w:val="24"/>
          <w:szCs w:val="24"/>
        </w:rPr>
        <w:t>,</w:t>
      </w:r>
      <w:r w:rsidRPr="00F3256C">
        <w:rPr>
          <w:sz w:val="24"/>
          <w:szCs w:val="24"/>
        </w:rPr>
        <w:t xml:space="preserve"> </w:t>
      </w:r>
      <w:r w:rsidR="00F3256C" w:rsidRPr="00F3256C">
        <w:rPr>
          <w:sz w:val="24"/>
          <w:szCs w:val="24"/>
        </w:rPr>
        <w:t>z należytym uwzględnieniem ryzyka dotyczącego problematyki płci.</w:t>
      </w:r>
    </w:p>
    <w:p w:rsidR="002B010A" w:rsidRPr="00F3256C" w:rsidRDefault="002B010A" w:rsidP="00E7396B">
      <w:pPr>
        <w:pStyle w:val="Akapitzlist"/>
        <w:numPr>
          <w:ilvl w:val="0"/>
          <w:numId w:val="5"/>
        </w:numPr>
        <w:spacing w:before="120" w:after="120" w:line="240" w:lineRule="auto"/>
        <w:contextualSpacing w:val="0"/>
        <w:jc w:val="both"/>
        <w:rPr>
          <w:sz w:val="24"/>
          <w:szCs w:val="24"/>
        </w:rPr>
      </w:pPr>
      <w:r w:rsidRPr="00F3256C">
        <w:rPr>
          <w:sz w:val="24"/>
          <w:szCs w:val="24"/>
        </w:rPr>
        <w:t xml:space="preserve">Państwa członkowskie powinny </w:t>
      </w:r>
      <w:r w:rsidR="006D1AF6" w:rsidRPr="00F3256C">
        <w:rPr>
          <w:sz w:val="24"/>
          <w:szCs w:val="24"/>
        </w:rPr>
        <w:t>mieć możliwość poinformowania przedsiębiorstw, o których mowa w paragrafie</w:t>
      </w:r>
      <w:r w:rsidRPr="00F3256C">
        <w:rPr>
          <w:sz w:val="24"/>
          <w:szCs w:val="24"/>
        </w:rPr>
        <w:t xml:space="preserve"> 20</w:t>
      </w:r>
      <w:r w:rsidR="00A34373" w:rsidRPr="00F3256C">
        <w:rPr>
          <w:sz w:val="24"/>
          <w:szCs w:val="24"/>
        </w:rPr>
        <w:t>,</w:t>
      </w:r>
      <w:r w:rsidRPr="00F3256C">
        <w:rPr>
          <w:sz w:val="24"/>
          <w:szCs w:val="24"/>
        </w:rPr>
        <w:t xml:space="preserve"> </w:t>
      </w:r>
      <w:r w:rsidR="00A34373" w:rsidRPr="00F3256C">
        <w:rPr>
          <w:sz w:val="24"/>
          <w:szCs w:val="24"/>
        </w:rPr>
        <w:t>o potencjalnych skutkach</w:t>
      </w:r>
      <w:r w:rsidR="006D1AF6" w:rsidRPr="00F3256C">
        <w:rPr>
          <w:sz w:val="24"/>
          <w:szCs w:val="24"/>
        </w:rPr>
        <w:t xml:space="preserve"> </w:t>
      </w:r>
      <w:r w:rsidR="002F2078" w:rsidRPr="00F3256C">
        <w:rPr>
          <w:sz w:val="24"/>
          <w:szCs w:val="24"/>
        </w:rPr>
        <w:t>dla</w:t>
      </w:r>
      <w:r w:rsidR="009327AB" w:rsidRPr="00F3256C">
        <w:rPr>
          <w:sz w:val="24"/>
          <w:szCs w:val="24"/>
        </w:rPr>
        <w:t xml:space="preserve"> praw</w:t>
      </w:r>
      <w:r w:rsidR="006D1AF6" w:rsidRPr="00F3256C">
        <w:rPr>
          <w:sz w:val="24"/>
          <w:szCs w:val="24"/>
        </w:rPr>
        <w:t xml:space="preserve"> człowieka </w:t>
      </w:r>
      <w:r w:rsidR="002F2078" w:rsidRPr="00F3256C">
        <w:rPr>
          <w:sz w:val="24"/>
          <w:szCs w:val="24"/>
        </w:rPr>
        <w:t xml:space="preserve">wynikających z </w:t>
      </w:r>
      <w:r w:rsidR="006D1AF6" w:rsidRPr="00F3256C">
        <w:rPr>
          <w:sz w:val="24"/>
          <w:szCs w:val="24"/>
        </w:rPr>
        <w:t xml:space="preserve">prowadzenia działalności </w:t>
      </w:r>
      <w:r w:rsidRPr="00F3256C">
        <w:rPr>
          <w:sz w:val="24"/>
          <w:szCs w:val="24"/>
        </w:rPr>
        <w:t>na obszarach dotkniętych konfliktem, a także w innych</w:t>
      </w:r>
      <w:r w:rsidR="00A34373" w:rsidRPr="00F3256C">
        <w:rPr>
          <w:sz w:val="24"/>
          <w:szCs w:val="24"/>
        </w:rPr>
        <w:t xml:space="preserve"> sektorach</w:t>
      </w:r>
      <w:r w:rsidRPr="00F3256C">
        <w:rPr>
          <w:sz w:val="24"/>
          <w:szCs w:val="24"/>
        </w:rPr>
        <w:t xml:space="preserve"> lub obszarach, które wiążą się z wysokim ryzykiem negatywnego wpływu na prawa człowieka</w:t>
      </w:r>
      <w:r w:rsidR="006D1AF6" w:rsidRPr="00F3256C">
        <w:rPr>
          <w:sz w:val="24"/>
          <w:szCs w:val="24"/>
        </w:rPr>
        <w:t>,</w:t>
      </w:r>
      <w:r w:rsidRPr="00F3256C">
        <w:rPr>
          <w:sz w:val="24"/>
          <w:szCs w:val="24"/>
        </w:rPr>
        <w:t xml:space="preserve"> oraz</w:t>
      </w:r>
      <w:r w:rsidR="006D1AF6" w:rsidRPr="00F3256C">
        <w:rPr>
          <w:sz w:val="24"/>
          <w:szCs w:val="24"/>
        </w:rPr>
        <w:t xml:space="preserve"> powinny mieć możliwość zapewnienia</w:t>
      </w:r>
      <w:r w:rsidRPr="00F3256C">
        <w:rPr>
          <w:sz w:val="24"/>
          <w:szCs w:val="24"/>
        </w:rPr>
        <w:t xml:space="preserve"> pomoc</w:t>
      </w:r>
      <w:r w:rsidR="006D1AF6" w:rsidRPr="00F3256C">
        <w:rPr>
          <w:sz w:val="24"/>
          <w:szCs w:val="24"/>
        </w:rPr>
        <w:t>y ty</w:t>
      </w:r>
      <w:r w:rsidR="002F2078" w:rsidRPr="00F3256C">
        <w:rPr>
          <w:sz w:val="24"/>
          <w:szCs w:val="24"/>
        </w:rPr>
        <w:t>m</w:t>
      </w:r>
      <w:r w:rsidR="006D1AF6" w:rsidRPr="00F3256C">
        <w:rPr>
          <w:sz w:val="24"/>
          <w:szCs w:val="24"/>
        </w:rPr>
        <w:t xml:space="preserve"> przedsiębiorstw</w:t>
      </w:r>
      <w:r w:rsidR="002F2078" w:rsidRPr="00F3256C">
        <w:rPr>
          <w:sz w:val="24"/>
          <w:szCs w:val="24"/>
        </w:rPr>
        <w:t>om</w:t>
      </w:r>
      <w:r w:rsidRPr="00F3256C">
        <w:rPr>
          <w:sz w:val="24"/>
          <w:szCs w:val="24"/>
        </w:rPr>
        <w:t xml:space="preserve">, zgodnie z odpowiednimi instrumentami międzynarodowymi, takimi jak </w:t>
      </w:r>
      <w:r w:rsidR="00F53129" w:rsidRPr="00F3256C">
        <w:rPr>
          <w:sz w:val="24"/>
          <w:szCs w:val="24"/>
        </w:rPr>
        <w:t>Narzędzie</w:t>
      </w:r>
      <w:r w:rsidRPr="00F3256C">
        <w:rPr>
          <w:sz w:val="24"/>
          <w:szCs w:val="24"/>
        </w:rPr>
        <w:t xml:space="preserve"> </w:t>
      </w:r>
      <w:r w:rsidR="00F53129" w:rsidRPr="00F3256C">
        <w:rPr>
          <w:sz w:val="24"/>
          <w:szCs w:val="24"/>
        </w:rPr>
        <w:t xml:space="preserve">OECD </w:t>
      </w:r>
      <w:r w:rsidR="00CA0E74" w:rsidRPr="00F3256C">
        <w:rPr>
          <w:sz w:val="24"/>
          <w:szCs w:val="24"/>
        </w:rPr>
        <w:t xml:space="preserve">dotyczące </w:t>
      </w:r>
      <w:r w:rsidRPr="00F3256C">
        <w:rPr>
          <w:sz w:val="24"/>
          <w:szCs w:val="24"/>
        </w:rPr>
        <w:t>świadomości ryzyka dla pr</w:t>
      </w:r>
      <w:r w:rsidR="00F53129" w:rsidRPr="00F3256C">
        <w:rPr>
          <w:sz w:val="24"/>
          <w:szCs w:val="24"/>
        </w:rPr>
        <w:t>zedsiębiorstw wielonarodowych na obszarach słabo zarządzanych</w:t>
      </w:r>
      <w:r w:rsidR="002F0B40" w:rsidRPr="00F3256C">
        <w:rPr>
          <w:sz w:val="24"/>
          <w:szCs w:val="24"/>
        </w:rPr>
        <w:t xml:space="preserve"> lub Wytyczne</w:t>
      </w:r>
      <w:r w:rsidRPr="00F3256C">
        <w:rPr>
          <w:sz w:val="24"/>
          <w:szCs w:val="24"/>
        </w:rPr>
        <w:t xml:space="preserve"> OECD </w:t>
      </w:r>
      <w:r w:rsidR="002F0B40" w:rsidRPr="00F3256C">
        <w:rPr>
          <w:sz w:val="24"/>
          <w:szCs w:val="24"/>
        </w:rPr>
        <w:t>dotyczące</w:t>
      </w:r>
      <w:r w:rsidR="009842F2" w:rsidRPr="00F3256C">
        <w:rPr>
          <w:sz w:val="24"/>
          <w:szCs w:val="24"/>
        </w:rPr>
        <w:t xml:space="preserve"> zachowania należytej staranności w zakresie odpowiedzialnych łańcuchów dostaw minerałów z obszarów dotkniętych konfliktami oraz obszarów wysokiego ryzyka. </w:t>
      </w:r>
      <w:r w:rsidRPr="00F3256C">
        <w:rPr>
          <w:sz w:val="24"/>
          <w:szCs w:val="24"/>
        </w:rPr>
        <w:t xml:space="preserve">Państwa członkowskie powinny ułatwiać </w:t>
      </w:r>
      <w:r w:rsidR="009842F2" w:rsidRPr="00F3256C">
        <w:rPr>
          <w:sz w:val="24"/>
          <w:szCs w:val="24"/>
        </w:rPr>
        <w:t xml:space="preserve">przedsiębiorstwom stosowanie </w:t>
      </w:r>
      <w:r w:rsidRPr="00F3256C">
        <w:rPr>
          <w:sz w:val="24"/>
          <w:szCs w:val="24"/>
        </w:rPr>
        <w:t xml:space="preserve">standardów </w:t>
      </w:r>
      <w:r w:rsidR="002F0B40" w:rsidRPr="00F3256C">
        <w:rPr>
          <w:sz w:val="24"/>
          <w:szCs w:val="24"/>
        </w:rPr>
        <w:t xml:space="preserve">odpowiednich </w:t>
      </w:r>
      <w:r w:rsidR="00697C5C" w:rsidRPr="00F3256C">
        <w:rPr>
          <w:sz w:val="24"/>
          <w:szCs w:val="24"/>
        </w:rPr>
        <w:t xml:space="preserve">dla </w:t>
      </w:r>
      <w:r w:rsidR="00CA0E74" w:rsidRPr="00F3256C">
        <w:rPr>
          <w:sz w:val="24"/>
          <w:szCs w:val="24"/>
        </w:rPr>
        <w:t xml:space="preserve">ich </w:t>
      </w:r>
      <w:r w:rsidR="002F0B40" w:rsidRPr="00F3256C">
        <w:rPr>
          <w:sz w:val="24"/>
          <w:szCs w:val="24"/>
        </w:rPr>
        <w:t>branży</w:t>
      </w:r>
      <w:r w:rsidRPr="00F3256C">
        <w:rPr>
          <w:sz w:val="24"/>
          <w:szCs w:val="24"/>
        </w:rPr>
        <w:t xml:space="preserve">, takich jak </w:t>
      </w:r>
      <w:r w:rsidR="00697C5C" w:rsidRPr="00F3256C">
        <w:rPr>
          <w:sz w:val="24"/>
          <w:szCs w:val="24"/>
        </w:rPr>
        <w:t xml:space="preserve">dobrowolne </w:t>
      </w:r>
      <w:r w:rsidRPr="00F3256C">
        <w:rPr>
          <w:sz w:val="24"/>
          <w:szCs w:val="24"/>
        </w:rPr>
        <w:t xml:space="preserve">zasady </w:t>
      </w:r>
      <w:r w:rsidR="00697C5C" w:rsidRPr="00F3256C">
        <w:rPr>
          <w:sz w:val="24"/>
          <w:szCs w:val="24"/>
        </w:rPr>
        <w:t>w zakresie b</w:t>
      </w:r>
      <w:r w:rsidRPr="00F3256C">
        <w:rPr>
          <w:sz w:val="24"/>
          <w:szCs w:val="24"/>
        </w:rPr>
        <w:t xml:space="preserve">ezpieczeństwa </w:t>
      </w:r>
      <w:r w:rsidR="00697C5C" w:rsidRPr="00F3256C">
        <w:rPr>
          <w:sz w:val="24"/>
          <w:szCs w:val="24"/>
        </w:rPr>
        <w:t>i praw człowieka oraz m</w:t>
      </w:r>
      <w:r w:rsidRPr="00F3256C">
        <w:rPr>
          <w:sz w:val="24"/>
          <w:szCs w:val="24"/>
        </w:rPr>
        <w:t>iędzynarodowego kodeksu postępowania dla prywatnych dostawców zabezpieczeń. Państwa członkowskie powinny rozważyć przeprowadzenie analizy ryzyka</w:t>
      </w:r>
      <w:r w:rsidR="00697C5C" w:rsidRPr="00F3256C">
        <w:rPr>
          <w:sz w:val="24"/>
          <w:szCs w:val="24"/>
        </w:rPr>
        <w:t xml:space="preserve"> w poszczególnych </w:t>
      </w:r>
      <w:r w:rsidR="002F0B40" w:rsidRPr="00F3256C">
        <w:rPr>
          <w:sz w:val="24"/>
          <w:szCs w:val="24"/>
        </w:rPr>
        <w:t>branżach</w:t>
      </w:r>
      <w:r w:rsidR="00697C5C" w:rsidRPr="00F3256C">
        <w:rPr>
          <w:sz w:val="24"/>
          <w:szCs w:val="24"/>
        </w:rPr>
        <w:t>,</w:t>
      </w:r>
      <w:r w:rsidRPr="00F3256C">
        <w:rPr>
          <w:sz w:val="24"/>
          <w:szCs w:val="24"/>
        </w:rPr>
        <w:t xml:space="preserve"> w celu określenia sektorów, w których </w:t>
      </w:r>
      <w:r w:rsidR="002F0B40" w:rsidRPr="00F3256C">
        <w:rPr>
          <w:sz w:val="24"/>
          <w:szCs w:val="24"/>
        </w:rPr>
        <w:t>prowadzona</w:t>
      </w:r>
      <w:r w:rsidR="00697C5C" w:rsidRPr="00F3256C">
        <w:rPr>
          <w:sz w:val="24"/>
          <w:szCs w:val="24"/>
        </w:rPr>
        <w:t xml:space="preserve"> </w:t>
      </w:r>
      <w:r w:rsidR="002F0B40" w:rsidRPr="00F3256C">
        <w:rPr>
          <w:sz w:val="24"/>
          <w:szCs w:val="24"/>
        </w:rPr>
        <w:t>działalność jest najbardziej narażona</w:t>
      </w:r>
      <w:r w:rsidRPr="00F3256C">
        <w:rPr>
          <w:sz w:val="24"/>
          <w:szCs w:val="24"/>
        </w:rPr>
        <w:t xml:space="preserve"> na </w:t>
      </w:r>
      <w:r w:rsidR="006D1AF6" w:rsidRPr="00F3256C">
        <w:rPr>
          <w:sz w:val="24"/>
          <w:szCs w:val="24"/>
        </w:rPr>
        <w:t>wywoływanie negatywnego</w:t>
      </w:r>
      <w:r w:rsidRPr="00F3256C">
        <w:rPr>
          <w:sz w:val="24"/>
          <w:szCs w:val="24"/>
        </w:rPr>
        <w:t xml:space="preserve"> wpływ</w:t>
      </w:r>
      <w:r w:rsidR="006D1AF6" w:rsidRPr="00F3256C">
        <w:rPr>
          <w:sz w:val="24"/>
          <w:szCs w:val="24"/>
        </w:rPr>
        <w:t>u</w:t>
      </w:r>
      <w:r w:rsidRPr="00F3256C">
        <w:rPr>
          <w:sz w:val="24"/>
          <w:szCs w:val="24"/>
        </w:rPr>
        <w:t xml:space="preserve"> na prawa człowieka.</w:t>
      </w:r>
    </w:p>
    <w:p w:rsidR="00902E8A" w:rsidRPr="002F7D5A" w:rsidRDefault="00902E8A" w:rsidP="00E7396B">
      <w:pPr>
        <w:pStyle w:val="Akapitzlist"/>
        <w:numPr>
          <w:ilvl w:val="0"/>
          <w:numId w:val="5"/>
        </w:numPr>
        <w:tabs>
          <w:tab w:val="left" w:pos="7513"/>
        </w:tabs>
        <w:spacing w:before="120" w:after="120" w:line="240" w:lineRule="auto"/>
        <w:contextualSpacing w:val="0"/>
        <w:jc w:val="both"/>
        <w:rPr>
          <w:sz w:val="24"/>
          <w:szCs w:val="24"/>
        </w:rPr>
      </w:pPr>
      <w:r w:rsidRPr="002F7D5A">
        <w:rPr>
          <w:sz w:val="24"/>
          <w:szCs w:val="24"/>
        </w:rPr>
        <w:t xml:space="preserve">W stosownych przypadkach państwa członkowskie powinny promować, wspierać i uczestniczyć w warsztatach szkoleniowych i biznesowych dla przedsiębiorstw i ich lokalnych partnerów handlowych, w tym </w:t>
      </w:r>
      <w:r w:rsidR="00A1080E" w:rsidRPr="002F7D5A">
        <w:rPr>
          <w:sz w:val="24"/>
          <w:szCs w:val="24"/>
        </w:rPr>
        <w:t>dotyczących</w:t>
      </w:r>
      <w:r w:rsidRPr="002F7D5A">
        <w:rPr>
          <w:sz w:val="24"/>
          <w:szCs w:val="24"/>
        </w:rPr>
        <w:t xml:space="preserve"> należytej staranności </w:t>
      </w:r>
      <w:r w:rsidR="002F47EB" w:rsidRPr="002F7D5A">
        <w:rPr>
          <w:sz w:val="24"/>
          <w:szCs w:val="24"/>
        </w:rPr>
        <w:t>w zakresie praw człowieka</w:t>
      </w:r>
      <w:r w:rsidR="00A1080E" w:rsidRPr="002F7D5A">
        <w:rPr>
          <w:sz w:val="24"/>
          <w:szCs w:val="24"/>
        </w:rPr>
        <w:t xml:space="preserve"> </w:t>
      </w:r>
      <w:r w:rsidRPr="002F7D5A">
        <w:rPr>
          <w:sz w:val="24"/>
          <w:szCs w:val="24"/>
        </w:rPr>
        <w:t xml:space="preserve">w ich działalności w państwach trzecich. Powinno to </w:t>
      </w:r>
      <w:r w:rsidR="00D13902">
        <w:rPr>
          <w:sz w:val="24"/>
          <w:szCs w:val="24"/>
        </w:rPr>
        <w:t xml:space="preserve">się </w:t>
      </w:r>
      <w:r w:rsidRPr="002F7D5A">
        <w:rPr>
          <w:sz w:val="24"/>
          <w:szCs w:val="24"/>
        </w:rPr>
        <w:t>odbywać</w:t>
      </w:r>
      <w:r w:rsidR="00A1080E" w:rsidRPr="002F7D5A">
        <w:rPr>
          <w:sz w:val="24"/>
          <w:szCs w:val="24"/>
        </w:rPr>
        <w:t xml:space="preserve"> </w:t>
      </w:r>
      <w:r w:rsidRPr="002F7D5A">
        <w:rPr>
          <w:sz w:val="24"/>
          <w:szCs w:val="24"/>
        </w:rPr>
        <w:t>we współpracy z organizacjami biznesowymi i przedsiębiorstw</w:t>
      </w:r>
      <w:r w:rsidR="00A1080E" w:rsidRPr="002F7D5A">
        <w:rPr>
          <w:sz w:val="24"/>
          <w:szCs w:val="24"/>
        </w:rPr>
        <w:t>ami, krajowymi instytucjami</w:t>
      </w:r>
      <w:r w:rsidRPr="002F7D5A">
        <w:rPr>
          <w:sz w:val="24"/>
          <w:szCs w:val="24"/>
        </w:rPr>
        <w:t xml:space="preserve"> praw człowieka, związk</w:t>
      </w:r>
      <w:r w:rsidR="00D13902">
        <w:rPr>
          <w:sz w:val="24"/>
          <w:szCs w:val="24"/>
        </w:rPr>
        <w:t>ami</w:t>
      </w:r>
      <w:r w:rsidRPr="002F7D5A">
        <w:rPr>
          <w:sz w:val="24"/>
          <w:szCs w:val="24"/>
        </w:rPr>
        <w:t xml:space="preserve"> zawodowy</w:t>
      </w:r>
      <w:r w:rsidR="00D13902">
        <w:rPr>
          <w:sz w:val="24"/>
          <w:szCs w:val="24"/>
        </w:rPr>
        <w:t>mi</w:t>
      </w:r>
      <w:r w:rsidRPr="002F7D5A">
        <w:rPr>
          <w:sz w:val="24"/>
          <w:szCs w:val="24"/>
        </w:rPr>
        <w:t xml:space="preserve"> i organizacj</w:t>
      </w:r>
      <w:r w:rsidR="00D13902">
        <w:rPr>
          <w:sz w:val="24"/>
          <w:szCs w:val="24"/>
        </w:rPr>
        <w:t>ami</w:t>
      </w:r>
      <w:r w:rsidRPr="002F7D5A">
        <w:rPr>
          <w:sz w:val="24"/>
          <w:szCs w:val="24"/>
        </w:rPr>
        <w:t xml:space="preserve"> pozarządowy</w:t>
      </w:r>
      <w:r w:rsidR="00D13902">
        <w:rPr>
          <w:sz w:val="24"/>
          <w:szCs w:val="24"/>
        </w:rPr>
        <w:t>mi</w:t>
      </w:r>
      <w:r w:rsidRPr="002F7D5A">
        <w:rPr>
          <w:sz w:val="24"/>
          <w:szCs w:val="24"/>
        </w:rPr>
        <w:t>.</w:t>
      </w:r>
    </w:p>
    <w:p w:rsidR="00902E8A" w:rsidRPr="002F7D5A" w:rsidRDefault="00902E8A" w:rsidP="00E7396B">
      <w:pPr>
        <w:pStyle w:val="Akapitzlist"/>
        <w:numPr>
          <w:ilvl w:val="0"/>
          <w:numId w:val="5"/>
        </w:numPr>
        <w:spacing w:before="120" w:after="120" w:line="240" w:lineRule="auto"/>
        <w:contextualSpacing w:val="0"/>
        <w:jc w:val="both"/>
        <w:rPr>
          <w:sz w:val="24"/>
          <w:szCs w:val="24"/>
        </w:rPr>
      </w:pPr>
      <w:r w:rsidRPr="002F7D5A">
        <w:rPr>
          <w:sz w:val="24"/>
          <w:szCs w:val="24"/>
        </w:rPr>
        <w:t>Państwa członkowskie powinny oferować szkolenia w zakresie biznesu i praw człowieka dla urzędników</w:t>
      </w:r>
      <w:r w:rsidR="00DF4646" w:rsidRPr="002F7D5A">
        <w:rPr>
          <w:sz w:val="24"/>
          <w:szCs w:val="24"/>
        </w:rPr>
        <w:t xml:space="preserve"> państwowych, którzy wykonują </w:t>
      </w:r>
      <w:r w:rsidRPr="002F7D5A">
        <w:rPr>
          <w:sz w:val="24"/>
          <w:szCs w:val="24"/>
        </w:rPr>
        <w:t xml:space="preserve">zadania </w:t>
      </w:r>
      <w:r w:rsidR="00160593" w:rsidRPr="00160593">
        <w:rPr>
          <w:sz w:val="24"/>
          <w:szCs w:val="24"/>
        </w:rPr>
        <w:t xml:space="preserve">istotne </w:t>
      </w:r>
      <w:r w:rsidR="00160593">
        <w:rPr>
          <w:sz w:val="24"/>
          <w:szCs w:val="24"/>
        </w:rPr>
        <w:t xml:space="preserve">w kontekście </w:t>
      </w:r>
      <w:r w:rsidRPr="002F7D5A">
        <w:rPr>
          <w:sz w:val="24"/>
          <w:szCs w:val="24"/>
        </w:rPr>
        <w:t>odpowiedzialności</w:t>
      </w:r>
      <w:r w:rsidR="00A1080E" w:rsidRPr="002F7D5A">
        <w:rPr>
          <w:sz w:val="24"/>
          <w:szCs w:val="24"/>
        </w:rPr>
        <w:t xml:space="preserve"> </w:t>
      </w:r>
      <w:r w:rsidR="00DF4646" w:rsidRPr="002F7D5A">
        <w:rPr>
          <w:sz w:val="24"/>
          <w:szCs w:val="24"/>
        </w:rPr>
        <w:t>przedsiębiorstw</w:t>
      </w:r>
      <w:r w:rsidR="00A1080E" w:rsidRPr="002F7D5A">
        <w:rPr>
          <w:sz w:val="24"/>
          <w:szCs w:val="24"/>
        </w:rPr>
        <w:t>, na przykład dla</w:t>
      </w:r>
      <w:r w:rsidR="00DF4646" w:rsidRPr="002F7D5A">
        <w:rPr>
          <w:sz w:val="24"/>
          <w:szCs w:val="24"/>
        </w:rPr>
        <w:t xml:space="preserve"> personelu placówek dyplomatycznych i konsularnych</w:t>
      </w:r>
      <w:r w:rsidRPr="002F7D5A">
        <w:rPr>
          <w:sz w:val="24"/>
          <w:szCs w:val="24"/>
        </w:rPr>
        <w:t xml:space="preserve"> </w:t>
      </w:r>
      <w:r w:rsidR="00DF4646" w:rsidRPr="002F7D5A">
        <w:rPr>
          <w:sz w:val="24"/>
          <w:szCs w:val="24"/>
        </w:rPr>
        <w:t>w krajach</w:t>
      </w:r>
      <w:r w:rsidRPr="002F7D5A">
        <w:rPr>
          <w:sz w:val="24"/>
          <w:szCs w:val="24"/>
        </w:rPr>
        <w:t xml:space="preserve"> trzecich o </w:t>
      </w:r>
      <w:r w:rsidR="00E56665" w:rsidRPr="002F7D5A">
        <w:rPr>
          <w:sz w:val="24"/>
          <w:szCs w:val="24"/>
        </w:rPr>
        <w:t>trudnej</w:t>
      </w:r>
      <w:r w:rsidRPr="002F7D5A">
        <w:rPr>
          <w:sz w:val="24"/>
          <w:szCs w:val="24"/>
        </w:rPr>
        <w:t xml:space="preserve"> sytuacji w zakresie praw człowieka.</w:t>
      </w:r>
    </w:p>
    <w:p w:rsidR="00902E8A" w:rsidRPr="002F7D5A" w:rsidRDefault="00902E8A" w:rsidP="00E7396B">
      <w:pPr>
        <w:pStyle w:val="Akapitzlist"/>
        <w:numPr>
          <w:ilvl w:val="0"/>
          <w:numId w:val="5"/>
        </w:numPr>
        <w:spacing w:before="120" w:after="120" w:line="240" w:lineRule="auto"/>
        <w:contextualSpacing w:val="0"/>
        <w:jc w:val="both"/>
        <w:rPr>
          <w:sz w:val="24"/>
          <w:szCs w:val="24"/>
        </w:rPr>
      </w:pPr>
      <w:r w:rsidRPr="002F7D5A">
        <w:rPr>
          <w:sz w:val="24"/>
          <w:szCs w:val="24"/>
        </w:rPr>
        <w:t xml:space="preserve">Państwa członkowskie powinny </w:t>
      </w:r>
      <w:r w:rsidR="008D7A43" w:rsidRPr="002F7D5A">
        <w:rPr>
          <w:sz w:val="24"/>
          <w:szCs w:val="24"/>
        </w:rPr>
        <w:t>podjąć</w:t>
      </w:r>
      <w:r w:rsidRPr="002F7D5A">
        <w:rPr>
          <w:sz w:val="24"/>
          <w:szCs w:val="24"/>
        </w:rPr>
        <w:t xml:space="preserve"> skuteczne </w:t>
      </w:r>
      <w:r w:rsidR="008D7A43" w:rsidRPr="002F7D5A">
        <w:rPr>
          <w:sz w:val="24"/>
          <w:szCs w:val="24"/>
        </w:rPr>
        <w:t>działania wdrażające</w:t>
      </w:r>
      <w:r w:rsidRPr="002F7D5A">
        <w:rPr>
          <w:sz w:val="24"/>
          <w:szCs w:val="24"/>
        </w:rPr>
        <w:t xml:space="preserve"> w odniesieniu do praw człow</w:t>
      </w:r>
      <w:r w:rsidR="00A1080E" w:rsidRPr="002F7D5A">
        <w:rPr>
          <w:sz w:val="24"/>
          <w:szCs w:val="24"/>
        </w:rPr>
        <w:t xml:space="preserve">ieka i standardów biznesowych oraz </w:t>
      </w:r>
      <w:r w:rsidR="00E82CF4">
        <w:rPr>
          <w:sz w:val="24"/>
          <w:szCs w:val="24"/>
        </w:rPr>
        <w:t xml:space="preserve">zapewnić </w:t>
      </w:r>
      <w:r w:rsidR="008D7A43" w:rsidRPr="002F7D5A">
        <w:rPr>
          <w:sz w:val="24"/>
          <w:szCs w:val="24"/>
        </w:rPr>
        <w:t>zaangażowa</w:t>
      </w:r>
      <w:r w:rsidR="00E82CF4">
        <w:rPr>
          <w:sz w:val="24"/>
          <w:szCs w:val="24"/>
        </w:rPr>
        <w:t>nie</w:t>
      </w:r>
      <w:r w:rsidR="00E52534">
        <w:rPr>
          <w:sz w:val="24"/>
          <w:szCs w:val="24"/>
        </w:rPr>
        <w:t xml:space="preserve"> właściwych</w:t>
      </w:r>
      <w:r w:rsidR="00E82CF4">
        <w:rPr>
          <w:sz w:val="24"/>
          <w:szCs w:val="24"/>
        </w:rPr>
        <w:t xml:space="preserve"> organów </w:t>
      </w:r>
      <w:r w:rsidR="008D7A43" w:rsidRPr="002F7D5A">
        <w:rPr>
          <w:sz w:val="24"/>
          <w:szCs w:val="24"/>
        </w:rPr>
        <w:t>nadzorując</w:t>
      </w:r>
      <w:r w:rsidR="00E82CF4">
        <w:rPr>
          <w:sz w:val="24"/>
          <w:szCs w:val="24"/>
        </w:rPr>
        <w:t>ych w takie działania</w:t>
      </w:r>
      <w:r w:rsidR="008D7A43" w:rsidRPr="002F7D5A">
        <w:rPr>
          <w:sz w:val="24"/>
          <w:szCs w:val="24"/>
        </w:rPr>
        <w:t>.</w:t>
      </w:r>
    </w:p>
    <w:p w:rsidR="00E7396B" w:rsidRDefault="00E7396B" w:rsidP="00E7396B">
      <w:pPr>
        <w:pStyle w:val="Akapitzlist"/>
        <w:spacing w:before="120" w:after="120" w:line="240" w:lineRule="auto"/>
        <w:ind w:left="927"/>
        <w:contextualSpacing w:val="0"/>
        <w:jc w:val="both"/>
        <w:rPr>
          <w:sz w:val="24"/>
          <w:szCs w:val="24"/>
        </w:rPr>
      </w:pPr>
    </w:p>
    <w:p w:rsidR="00E7396B" w:rsidRDefault="00E7396B" w:rsidP="00E7396B">
      <w:pPr>
        <w:pStyle w:val="Akapitzlist"/>
        <w:spacing w:before="120" w:after="120" w:line="240" w:lineRule="auto"/>
        <w:ind w:left="927"/>
        <w:contextualSpacing w:val="0"/>
        <w:jc w:val="both"/>
        <w:rPr>
          <w:sz w:val="24"/>
          <w:szCs w:val="24"/>
        </w:rPr>
      </w:pPr>
    </w:p>
    <w:p w:rsidR="00662DAC" w:rsidRDefault="00662DAC" w:rsidP="00E7396B">
      <w:pPr>
        <w:pStyle w:val="Akapitzlist"/>
        <w:numPr>
          <w:ilvl w:val="0"/>
          <w:numId w:val="3"/>
        </w:numPr>
        <w:spacing w:before="120" w:after="120" w:line="240" w:lineRule="auto"/>
        <w:ind w:left="993" w:hanging="273"/>
        <w:contextualSpacing w:val="0"/>
        <w:jc w:val="both"/>
        <w:rPr>
          <w:b/>
          <w:sz w:val="24"/>
          <w:szCs w:val="24"/>
        </w:rPr>
      </w:pPr>
      <w:r w:rsidRPr="002F7D5A">
        <w:rPr>
          <w:b/>
          <w:sz w:val="24"/>
          <w:szCs w:val="24"/>
        </w:rPr>
        <w:t xml:space="preserve">Dostęp do </w:t>
      </w:r>
      <w:r w:rsidR="002F47EB" w:rsidRPr="002F7D5A">
        <w:rPr>
          <w:b/>
          <w:sz w:val="24"/>
          <w:szCs w:val="24"/>
        </w:rPr>
        <w:t>środków</w:t>
      </w:r>
      <w:r w:rsidRPr="002F7D5A">
        <w:rPr>
          <w:b/>
          <w:sz w:val="24"/>
          <w:szCs w:val="24"/>
        </w:rPr>
        <w:t xml:space="preserve"> </w:t>
      </w:r>
      <w:r w:rsidR="002F47EB" w:rsidRPr="002F7D5A">
        <w:rPr>
          <w:b/>
          <w:sz w:val="24"/>
          <w:szCs w:val="24"/>
        </w:rPr>
        <w:t>zaradczych</w:t>
      </w:r>
    </w:p>
    <w:p w:rsidR="00E7396B" w:rsidRDefault="00E7396B" w:rsidP="00E7396B">
      <w:pPr>
        <w:pStyle w:val="Akapitzlist"/>
        <w:spacing w:before="120" w:after="120" w:line="240" w:lineRule="auto"/>
        <w:ind w:left="993"/>
        <w:contextualSpacing w:val="0"/>
        <w:jc w:val="both"/>
        <w:rPr>
          <w:b/>
          <w:sz w:val="24"/>
          <w:szCs w:val="24"/>
        </w:rPr>
      </w:pPr>
    </w:p>
    <w:p w:rsidR="00662DAC" w:rsidRPr="002F7D5A" w:rsidRDefault="00662DAC" w:rsidP="00E7396B">
      <w:pPr>
        <w:pStyle w:val="Akapitzlist"/>
        <w:numPr>
          <w:ilvl w:val="0"/>
          <w:numId w:val="10"/>
        </w:numPr>
        <w:spacing w:before="120" w:after="120" w:line="240" w:lineRule="auto"/>
        <w:contextualSpacing w:val="0"/>
        <w:jc w:val="both"/>
        <w:rPr>
          <w:b/>
          <w:sz w:val="24"/>
          <w:szCs w:val="24"/>
        </w:rPr>
      </w:pPr>
      <w:r w:rsidRPr="002F7D5A">
        <w:rPr>
          <w:b/>
          <w:sz w:val="24"/>
          <w:szCs w:val="24"/>
        </w:rPr>
        <w:t>Dostęp do mechanizmów sądowych</w:t>
      </w:r>
    </w:p>
    <w:p w:rsidR="00662DAC" w:rsidRPr="002F7D5A" w:rsidRDefault="00662DAC" w:rsidP="00E7396B">
      <w:pPr>
        <w:pStyle w:val="Akapitzlist"/>
        <w:numPr>
          <w:ilvl w:val="0"/>
          <w:numId w:val="5"/>
        </w:numPr>
        <w:spacing w:before="120" w:after="120" w:line="240" w:lineRule="auto"/>
        <w:contextualSpacing w:val="0"/>
        <w:jc w:val="both"/>
        <w:rPr>
          <w:sz w:val="24"/>
          <w:szCs w:val="24"/>
        </w:rPr>
      </w:pPr>
      <w:r w:rsidRPr="002F7D5A">
        <w:rPr>
          <w:sz w:val="24"/>
          <w:szCs w:val="24"/>
        </w:rPr>
        <w:t xml:space="preserve">Państwa członkowskie powinny zapewnić skuteczną realizację ich zobowiązań wynikających z </w:t>
      </w:r>
      <w:r w:rsidR="0082601D">
        <w:rPr>
          <w:sz w:val="24"/>
          <w:szCs w:val="24"/>
        </w:rPr>
        <w:t>art.</w:t>
      </w:r>
      <w:r w:rsidRPr="002F7D5A">
        <w:rPr>
          <w:sz w:val="24"/>
          <w:szCs w:val="24"/>
        </w:rPr>
        <w:t xml:space="preserve"> 6 i </w:t>
      </w:r>
      <w:r w:rsidR="0082601D">
        <w:rPr>
          <w:sz w:val="24"/>
          <w:szCs w:val="24"/>
        </w:rPr>
        <w:t xml:space="preserve">art. </w:t>
      </w:r>
      <w:r w:rsidRPr="002F7D5A">
        <w:rPr>
          <w:sz w:val="24"/>
          <w:szCs w:val="24"/>
        </w:rPr>
        <w:t xml:space="preserve">13 Konwencji o ochronie praw człowieka i podstawowych wolności i innych międzynarodowych i europejskich instrumentów ochrony praw człowieka, aby zagwarantować każdemu dostęp do sądu w celu </w:t>
      </w:r>
      <w:r w:rsidR="0010005D" w:rsidRPr="002F7D5A">
        <w:rPr>
          <w:sz w:val="24"/>
          <w:szCs w:val="24"/>
        </w:rPr>
        <w:t>rozstrzygnięcia o</w:t>
      </w:r>
      <w:r w:rsidRPr="002F7D5A">
        <w:rPr>
          <w:sz w:val="24"/>
          <w:szCs w:val="24"/>
        </w:rPr>
        <w:t xml:space="preserve"> jego praw</w:t>
      </w:r>
      <w:r w:rsidR="0010005D" w:rsidRPr="002F7D5A">
        <w:rPr>
          <w:sz w:val="24"/>
          <w:szCs w:val="24"/>
        </w:rPr>
        <w:t>ach</w:t>
      </w:r>
      <w:r w:rsidRPr="002F7D5A">
        <w:rPr>
          <w:sz w:val="24"/>
          <w:szCs w:val="24"/>
        </w:rPr>
        <w:t xml:space="preserve"> o charakterze cywilnym, a także każdemu, </w:t>
      </w:r>
      <w:r w:rsidR="00AA648C">
        <w:rPr>
          <w:sz w:val="24"/>
          <w:szCs w:val="24"/>
        </w:rPr>
        <w:t>kogo</w:t>
      </w:r>
      <w:r w:rsidR="00AA648C" w:rsidRPr="002F7D5A">
        <w:rPr>
          <w:sz w:val="24"/>
          <w:szCs w:val="24"/>
        </w:rPr>
        <w:t xml:space="preserve"> </w:t>
      </w:r>
      <w:r w:rsidRPr="002F7D5A">
        <w:rPr>
          <w:sz w:val="24"/>
          <w:szCs w:val="24"/>
        </w:rPr>
        <w:t xml:space="preserve">prawa zostały naruszone w świetle powyższych instrumentów, do skutecznego środka odwoławczego do właściwego organu </w:t>
      </w:r>
      <w:r w:rsidR="0010005D" w:rsidRPr="002F7D5A">
        <w:rPr>
          <w:sz w:val="24"/>
          <w:szCs w:val="24"/>
        </w:rPr>
        <w:t>państwowego</w:t>
      </w:r>
      <w:r w:rsidRPr="002F7D5A">
        <w:rPr>
          <w:sz w:val="24"/>
          <w:szCs w:val="24"/>
        </w:rPr>
        <w:t xml:space="preserve">, również gdy takie naruszenie wynika z działalności </w:t>
      </w:r>
      <w:r w:rsidR="00854A29">
        <w:rPr>
          <w:sz w:val="24"/>
          <w:szCs w:val="24"/>
        </w:rPr>
        <w:t>gospodarczej</w:t>
      </w:r>
      <w:r w:rsidRPr="002F7D5A">
        <w:rPr>
          <w:sz w:val="24"/>
          <w:szCs w:val="24"/>
        </w:rPr>
        <w:t>.</w:t>
      </w:r>
    </w:p>
    <w:p w:rsidR="00662DAC" w:rsidRPr="002F7D5A" w:rsidRDefault="00662DAC" w:rsidP="00E7396B">
      <w:pPr>
        <w:pStyle w:val="Akapitzlist"/>
        <w:spacing w:before="120" w:after="120" w:line="240" w:lineRule="auto"/>
        <w:ind w:left="927"/>
        <w:contextualSpacing w:val="0"/>
        <w:jc w:val="both"/>
        <w:rPr>
          <w:sz w:val="24"/>
          <w:szCs w:val="24"/>
        </w:rPr>
      </w:pPr>
    </w:p>
    <w:p w:rsidR="00662DAC" w:rsidRPr="002F7D5A" w:rsidRDefault="00662DAC" w:rsidP="00E7396B">
      <w:pPr>
        <w:pStyle w:val="Akapitzlist"/>
        <w:numPr>
          <w:ilvl w:val="0"/>
          <w:numId w:val="11"/>
        </w:numPr>
        <w:spacing w:before="120" w:after="120" w:line="240" w:lineRule="auto"/>
        <w:contextualSpacing w:val="0"/>
        <w:jc w:val="both"/>
        <w:rPr>
          <w:b/>
          <w:i/>
          <w:sz w:val="24"/>
          <w:szCs w:val="24"/>
        </w:rPr>
      </w:pPr>
      <w:r w:rsidRPr="002F7D5A">
        <w:rPr>
          <w:b/>
          <w:i/>
          <w:sz w:val="24"/>
          <w:szCs w:val="24"/>
        </w:rPr>
        <w:t xml:space="preserve">Odpowiedzialność cywilna za </w:t>
      </w:r>
      <w:r w:rsidR="003953CF" w:rsidRPr="002F7D5A">
        <w:rPr>
          <w:b/>
          <w:i/>
          <w:sz w:val="24"/>
          <w:szCs w:val="24"/>
        </w:rPr>
        <w:t xml:space="preserve">związane z działalnością gospodarczą naruszenie praw człowieka </w:t>
      </w:r>
    </w:p>
    <w:p w:rsidR="003953CF" w:rsidRPr="002F7D5A" w:rsidRDefault="003953CF" w:rsidP="00E7396B">
      <w:pPr>
        <w:pStyle w:val="Akapitzlist"/>
        <w:numPr>
          <w:ilvl w:val="0"/>
          <w:numId w:val="5"/>
        </w:numPr>
        <w:spacing w:before="120" w:after="120" w:line="240" w:lineRule="auto"/>
        <w:contextualSpacing w:val="0"/>
        <w:jc w:val="both"/>
        <w:rPr>
          <w:sz w:val="24"/>
          <w:szCs w:val="24"/>
        </w:rPr>
      </w:pPr>
      <w:r w:rsidRPr="002F7D5A">
        <w:rPr>
          <w:sz w:val="24"/>
          <w:szCs w:val="24"/>
        </w:rPr>
        <w:t xml:space="preserve">Państwa członkowskie powinny stosować takie środki ustawodawcze lub inne, jakie mogą okazać się konieczne w celu zapewnienia, że naruszenia praw człowieka </w:t>
      </w:r>
      <w:r w:rsidR="007E4360" w:rsidRPr="002F7D5A">
        <w:rPr>
          <w:sz w:val="24"/>
          <w:szCs w:val="24"/>
        </w:rPr>
        <w:t xml:space="preserve">spowodowane przez przedsiębiorstwa działające </w:t>
      </w:r>
      <w:r w:rsidRPr="002F7D5A">
        <w:rPr>
          <w:sz w:val="24"/>
          <w:szCs w:val="24"/>
        </w:rPr>
        <w:t xml:space="preserve">w </w:t>
      </w:r>
      <w:r w:rsidR="0010005D" w:rsidRPr="002F7D5A">
        <w:rPr>
          <w:sz w:val="24"/>
          <w:szCs w:val="24"/>
        </w:rPr>
        <w:t>obrębie</w:t>
      </w:r>
      <w:r w:rsidRPr="002F7D5A">
        <w:rPr>
          <w:sz w:val="24"/>
          <w:szCs w:val="24"/>
        </w:rPr>
        <w:t xml:space="preserve"> ich jurysdykcji dają podstawę do </w:t>
      </w:r>
      <w:r w:rsidR="0010005D" w:rsidRPr="002F7D5A">
        <w:rPr>
          <w:sz w:val="24"/>
          <w:szCs w:val="24"/>
        </w:rPr>
        <w:t xml:space="preserve">pociągnięcia ich do </w:t>
      </w:r>
      <w:r w:rsidRPr="002F7D5A">
        <w:rPr>
          <w:sz w:val="24"/>
          <w:szCs w:val="24"/>
        </w:rPr>
        <w:t xml:space="preserve">odpowiedzialności cywilnej </w:t>
      </w:r>
      <w:r w:rsidR="0010005D" w:rsidRPr="002F7D5A">
        <w:rPr>
          <w:sz w:val="24"/>
          <w:szCs w:val="24"/>
        </w:rPr>
        <w:t xml:space="preserve">na mocy </w:t>
      </w:r>
      <w:r w:rsidR="00E52534">
        <w:rPr>
          <w:sz w:val="24"/>
          <w:szCs w:val="24"/>
        </w:rPr>
        <w:t>mających zastosowanie</w:t>
      </w:r>
      <w:r w:rsidR="0010005D" w:rsidRPr="002F7D5A">
        <w:rPr>
          <w:sz w:val="24"/>
          <w:szCs w:val="24"/>
        </w:rPr>
        <w:t xml:space="preserve"> przepisów prawa</w:t>
      </w:r>
      <w:r w:rsidRPr="002F7D5A">
        <w:rPr>
          <w:sz w:val="24"/>
          <w:szCs w:val="24"/>
        </w:rPr>
        <w:t>.</w:t>
      </w:r>
    </w:p>
    <w:p w:rsidR="003953CF" w:rsidRPr="002F7D5A" w:rsidRDefault="003953CF" w:rsidP="00E7396B">
      <w:pPr>
        <w:pStyle w:val="Akapitzlist"/>
        <w:numPr>
          <w:ilvl w:val="0"/>
          <w:numId w:val="5"/>
        </w:numPr>
        <w:spacing w:before="120" w:after="120" w:line="240" w:lineRule="auto"/>
        <w:contextualSpacing w:val="0"/>
        <w:jc w:val="both"/>
        <w:rPr>
          <w:sz w:val="24"/>
          <w:szCs w:val="24"/>
        </w:rPr>
      </w:pPr>
      <w:r w:rsidRPr="002F7D5A">
        <w:rPr>
          <w:sz w:val="24"/>
          <w:szCs w:val="24"/>
        </w:rPr>
        <w:t xml:space="preserve">Państwa członkowskie, które nie wyraziły zgody na związanie się </w:t>
      </w:r>
      <w:r w:rsidR="007E4360" w:rsidRPr="002F7D5A">
        <w:rPr>
          <w:sz w:val="24"/>
          <w:szCs w:val="24"/>
        </w:rPr>
        <w:t xml:space="preserve">Konwencją o jurysdykcji i uznawaniu oraz wykonywaniu orzeczeń w </w:t>
      </w:r>
      <w:r w:rsidR="00477037" w:rsidRPr="002F7D5A">
        <w:rPr>
          <w:sz w:val="24"/>
          <w:szCs w:val="24"/>
        </w:rPr>
        <w:t>sprawach cywilnych</w:t>
      </w:r>
      <w:r w:rsidR="007E4360" w:rsidRPr="002F7D5A">
        <w:rPr>
          <w:sz w:val="24"/>
          <w:szCs w:val="24"/>
        </w:rPr>
        <w:t xml:space="preserve"> i handlowych</w:t>
      </w:r>
      <w:r w:rsidRPr="002F7D5A">
        <w:rPr>
          <w:sz w:val="24"/>
          <w:szCs w:val="24"/>
        </w:rPr>
        <w:t xml:space="preserve"> z</w:t>
      </w:r>
      <w:r w:rsidR="00392164">
        <w:rPr>
          <w:sz w:val="24"/>
          <w:szCs w:val="24"/>
        </w:rPr>
        <w:t xml:space="preserve"> dnia 30 października 2007 r. („Konwencja z Lugano”</w:t>
      </w:r>
      <w:r w:rsidR="007E4360" w:rsidRPr="002F7D5A">
        <w:rPr>
          <w:sz w:val="24"/>
          <w:szCs w:val="24"/>
        </w:rPr>
        <w:t>)</w:t>
      </w:r>
      <w:r w:rsidR="00650FBD">
        <w:rPr>
          <w:sz w:val="24"/>
          <w:szCs w:val="24"/>
        </w:rPr>
        <w:t>,</w:t>
      </w:r>
      <w:r w:rsidR="007E4360" w:rsidRPr="002F7D5A">
        <w:rPr>
          <w:sz w:val="24"/>
          <w:szCs w:val="24"/>
        </w:rPr>
        <w:t xml:space="preserve"> powinny</w:t>
      </w:r>
      <w:r w:rsidRPr="002F7D5A">
        <w:rPr>
          <w:sz w:val="24"/>
          <w:szCs w:val="24"/>
        </w:rPr>
        <w:t xml:space="preserve"> rozważyć wszczęcie procedury przystąpienia.</w:t>
      </w:r>
    </w:p>
    <w:p w:rsidR="003953CF" w:rsidRPr="002F7D5A" w:rsidRDefault="003953CF" w:rsidP="00E7396B">
      <w:pPr>
        <w:pStyle w:val="Akapitzlist"/>
        <w:numPr>
          <w:ilvl w:val="0"/>
          <w:numId w:val="5"/>
        </w:numPr>
        <w:tabs>
          <w:tab w:val="left" w:pos="5670"/>
        </w:tabs>
        <w:spacing w:before="120" w:after="120" w:line="240" w:lineRule="auto"/>
        <w:contextualSpacing w:val="0"/>
        <w:jc w:val="both"/>
        <w:rPr>
          <w:sz w:val="24"/>
          <w:szCs w:val="24"/>
        </w:rPr>
      </w:pPr>
      <w:r w:rsidRPr="002F7D5A">
        <w:rPr>
          <w:sz w:val="24"/>
          <w:szCs w:val="24"/>
        </w:rPr>
        <w:t>Państwa członkowskie powinny stosowa</w:t>
      </w:r>
      <w:r w:rsidR="007E4360" w:rsidRPr="002F7D5A">
        <w:rPr>
          <w:sz w:val="24"/>
          <w:szCs w:val="24"/>
        </w:rPr>
        <w:t xml:space="preserve">ć takie środki ustawodawcze oraz inne, które </w:t>
      </w:r>
      <w:r w:rsidR="000954FF">
        <w:rPr>
          <w:sz w:val="24"/>
          <w:szCs w:val="24"/>
        </w:rPr>
        <w:t>są</w:t>
      </w:r>
      <w:r w:rsidRPr="002F7D5A">
        <w:rPr>
          <w:sz w:val="24"/>
          <w:szCs w:val="24"/>
        </w:rPr>
        <w:t xml:space="preserve"> konieczne w celu zapewnienia, że ich sądy krajowe </w:t>
      </w:r>
      <w:r w:rsidR="000954FF">
        <w:rPr>
          <w:sz w:val="24"/>
          <w:szCs w:val="24"/>
        </w:rPr>
        <w:t>są</w:t>
      </w:r>
      <w:r w:rsidR="00036F3B" w:rsidRPr="002F7D5A">
        <w:rPr>
          <w:sz w:val="24"/>
          <w:szCs w:val="24"/>
        </w:rPr>
        <w:t xml:space="preserve"> </w:t>
      </w:r>
      <w:r w:rsidRPr="002F7D5A">
        <w:rPr>
          <w:sz w:val="24"/>
          <w:szCs w:val="24"/>
        </w:rPr>
        <w:t xml:space="preserve">właściwe </w:t>
      </w:r>
      <w:r w:rsidR="000954FF">
        <w:rPr>
          <w:sz w:val="24"/>
          <w:szCs w:val="24"/>
        </w:rPr>
        <w:t>dla</w:t>
      </w:r>
      <w:r w:rsidR="00304F65">
        <w:rPr>
          <w:sz w:val="24"/>
          <w:szCs w:val="24"/>
        </w:rPr>
        <w:t xml:space="preserve"> </w:t>
      </w:r>
      <w:r w:rsidR="000954FF">
        <w:rPr>
          <w:sz w:val="24"/>
          <w:szCs w:val="24"/>
        </w:rPr>
        <w:t>rozpatrywania</w:t>
      </w:r>
      <w:r w:rsidRPr="002F7D5A">
        <w:rPr>
          <w:sz w:val="24"/>
          <w:szCs w:val="24"/>
        </w:rPr>
        <w:t xml:space="preserve"> roszczeń cywilnych</w:t>
      </w:r>
      <w:r w:rsidR="00F80A75" w:rsidRPr="002F7D5A">
        <w:rPr>
          <w:sz w:val="24"/>
          <w:szCs w:val="24"/>
        </w:rPr>
        <w:t xml:space="preserve"> </w:t>
      </w:r>
      <w:r w:rsidR="00036F3B" w:rsidRPr="002F7D5A">
        <w:rPr>
          <w:sz w:val="24"/>
          <w:szCs w:val="24"/>
        </w:rPr>
        <w:t xml:space="preserve">dotyczących naruszeń praw człowieka związanych z biznesem </w:t>
      </w:r>
      <w:r w:rsidR="00F80A75" w:rsidRPr="002F7D5A">
        <w:rPr>
          <w:sz w:val="24"/>
          <w:szCs w:val="24"/>
        </w:rPr>
        <w:t>przeciwko przedsiębiorstwom</w:t>
      </w:r>
      <w:r w:rsidR="00036F3B" w:rsidRPr="002F7D5A">
        <w:rPr>
          <w:sz w:val="24"/>
          <w:szCs w:val="24"/>
        </w:rPr>
        <w:t>, które mają siedzibę w obrębie ich jurysdykcji</w:t>
      </w:r>
      <w:r w:rsidRPr="002F7D5A">
        <w:rPr>
          <w:sz w:val="24"/>
          <w:szCs w:val="24"/>
        </w:rPr>
        <w:t xml:space="preserve">. Doktryna </w:t>
      </w:r>
      <w:r w:rsidRPr="002F7D5A">
        <w:rPr>
          <w:i/>
          <w:sz w:val="24"/>
          <w:szCs w:val="24"/>
        </w:rPr>
        <w:t xml:space="preserve">forum non </w:t>
      </w:r>
      <w:proofErr w:type="spellStart"/>
      <w:r w:rsidRPr="002F7D5A">
        <w:rPr>
          <w:i/>
          <w:sz w:val="24"/>
          <w:szCs w:val="24"/>
        </w:rPr>
        <w:t>conveniens</w:t>
      </w:r>
      <w:proofErr w:type="spellEnd"/>
      <w:r w:rsidRPr="002F7D5A">
        <w:rPr>
          <w:sz w:val="24"/>
          <w:szCs w:val="24"/>
        </w:rPr>
        <w:t xml:space="preserve"> nie powinna być stosowana w takich przypadkach.</w:t>
      </w:r>
    </w:p>
    <w:p w:rsidR="003953CF" w:rsidRPr="002F7D5A" w:rsidRDefault="003953CF" w:rsidP="00E7396B">
      <w:pPr>
        <w:pStyle w:val="Akapitzlist"/>
        <w:numPr>
          <w:ilvl w:val="0"/>
          <w:numId w:val="5"/>
        </w:numPr>
        <w:spacing w:before="120" w:after="120" w:line="240" w:lineRule="auto"/>
        <w:contextualSpacing w:val="0"/>
        <w:jc w:val="both"/>
        <w:rPr>
          <w:sz w:val="24"/>
          <w:szCs w:val="24"/>
        </w:rPr>
      </w:pPr>
      <w:r w:rsidRPr="002F7D5A">
        <w:rPr>
          <w:sz w:val="24"/>
          <w:szCs w:val="24"/>
        </w:rPr>
        <w:t xml:space="preserve">Państwa członkowskie powinny rozważyć </w:t>
      </w:r>
      <w:r w:rsidR="00C35F67" w:rsidRPr="002F7D5A">
        <w:rPr>
          <w:sz w:val="24"/>
          <w:szCs w:val="24"/>
        </w:rPr>
        <w:t>stworzenie</w:t>
      </w:r>
      <w:r w:rsidRPr="002F7D5A">
        <w:rPr>
          <w:sz w:val="24"/>
          <w:szCs w:val="24"/>
        </w:rPr>
        <w:t xml:space="preserve"> </w:t>
      </w:r>
      <w:r w:rsidR="00C35F67" w:rsidRPr="002F7D5A">
        <w:rPr>
          <w:sz w:val="24"/>
          <w:szCs w:val="24"/>
        </w:rPr>
        <w:t>ich sądom krajowym możliwości</w:t>
      </w:r>
      <w:r w:rsidRPr="002F7D5A">
        <w:rPr>
          <w:sz w:val="24"/>
          <w:szCs w:val="24"/>
        </w:rPr>
        <w:t xml:space="preserve"> sprawowania jurysdykcji w stosunku do roszczeń cywilnych dotyczących </w:t>
      </w:r>
      <w:r w:rsidR="00CB69E4" w:rsidRPr="002F7D5A">
        <w:rPr>
          <w:sz w:val="24"/>
          <w:szCs w:val="24"/>
        </w:rPr>
        <w:t>naruszeń</w:t>
      </w:r>
      <w:r w:rsidRPr="002F7D5A">
        <w:rPr>
          <w:sz w:val="24"/>
          <w:szCs w:val="24"/>
        </w:rPr>
        <w:t xml:space="preserve"> praw człowieka</w:t>
      </w:r>
      <w:r w:rsidR="00CB69E4" w:rsidRPr="002F7D5A">
        <w:rPr>
          <w:sz w:val="24"/>
          <w:szCs w:val="24"/>
        </w:rPr>
        <w:t xml:space="preserve"> związanych z biznesem </w:t>
      </w:r>
      <w:r w:rsidR="00422DD2">
        <w:rPr>
          <w:sz w:val="24"/>
          <w:szCs w:val="24"/>
        </w:rPr>
        <w:t>przeciwko</w:t>
      </w:r>
      <w:r w:rsidR="00422DD2" w:rsidRPr="002F7D5A">
        <w:rPr>
          <w:sz w:val="24"/>
          <w:szCs w:val="24"/>
        </w:rPr>
        <w:t xml:space="preserve"> </w:t>
      </w:r>
      <w:r w:rsidR="000954FF">
        <w:rPr>
          <w:sz w:val="24"/>
          <w:szCs w:val="24"/>
        </w:rPr>
        <w:t>spółk</w:t>
      </w:r>
      <w:r w:rsidR="00422DD2">
        <w:rPr>
          <w:sz w:val="24"/>
          <w:szCs w:val="24"/>
        </w:rPr>
        <w:t>om</w:t>
      </w:r>
      <w:r w:rsidR="000954FF">
        <w:rPr>
          <w:sz w:val="24"/>
          <w:szCs w:val="24"/>
        </w:rPr>
        <w:t xml:space="preserve"> zależny</w:t>
      </w:r>
      <w:r w:rsidR="00422DD2">
        <w:rPr>
          <w:sz w:val="24"/>
          <w:szCs w:val="24"/>
        </w:rPr>
        <w:t>m</w:t>
      </w:r>
      <w:r w:rsidR="00CB69E4" w:rsidRPr="002F7D5A">
        <w:rPr>
          <w:sz w:val="24"/>
          <w:szCs w:val="24"/>
        </w:rPr>
        <w:t>, niezależnie od miejsca ich siedziby</w:t>
      </w:r>
      <w:r w:rsidR="0029566D" w:rsidRPr="002F7D5A">
        <w:rPr>
          <w:sz w:val="24"/>
          <w:szCs w:val="24"/>
        </w:rPr>
        <w:t xml:space="preserve">, </w:t>
      </w:r>
      <w:r w:rsidR="005603AE" w:rsidRPr="002F7D5A">
        <w:rPr>
          <w:sz w:val="24"/>
          <w:szCs w:val="24"/>
        </w:rPr>
        <w:t>przedsiębiorstw działających w ramach ich jurysdykcji, jeśli</w:t>
      </w:r>
      <w:r w:rsidRPr="002F7D5A">
        <w:rPr>
          <w:sz w:val="24"/>
          <w:szCs w:val="24"/>
        </w:rPr>
        <w:t xml:space="preserve"> takie roszczenia są ściśle związane z roszczeniami cywilnymi przeciwko </w:t>
      </w:r>
      <w:r w:rsidR="005603AE" w:rsidRPr="002F7D5A">
        <w:rPr>
          <w:sz w:val="24"/>
          <w:szCs w:val="24"/>
        </w:rPr>
        <w:t xml:space="preserve">tym </w:t>
      </w:r>
      <w:r w:rsidRPr="002F7D5A">
        <w:rPr>
          <w:sz w:val="24"/>
          <w:szCs w:val="24"/>
        </w:rPr>
        <w:t>przedsiębiorstw</w:t>
      </w:r>
      <w:r w:rsidR="005603AE" w:rsidRPr="002F7D5A">
        <w:rPr>
          <w:sz w:val="24"/>
          <w:szCs w:val="24"/>
        </w:rPr>
        <w:t>om</w:t>
      </w:r>
      <w:r w:rsidRPr="002F7D5A">
        <w:rPr>
          <w:sz w:val="24"/>
          <w:szCs w:val="24"/>
        </w:rPr>
        <w:t>.</w:t>
      </w:r>
    </w:p>
    <w:p w:rsidR="003953CF" w:rsidRPr="002F7D5A" w:rsidRDefault="002F47EB" w:rsidP="00E7396B">
      <w:pPr>
        <w:pStyle w:val="Akapitzlist"/>
        <w:numPr>
          <w:ilvl w:val="0"/>
          <w:numId w:val="5"/>
        </w:numPr>
        <w:spacing w:before="120" w:after="120" w:line="240" w:lineRule="auto"/>
        <w:contextualSpacing w:val="0"/>
        <w:jc w:val="both"/>
        <w:rPr>
          <w:sz w:val="24"/>
          <w:szCs w:val="24"/>
        </w:rPr>
      </w:pPr>
      <w:r w:rsidRPr="002F7D5A">
        <w:rPr>
          <w:sz w:val="24"/>
          <w:szCs w:val="24"/>
        </w:rPr>
        <w:t>Tam, gdzie</w:t>
      </w:r>
      <w:r w:rsidR="0029566D" w:rsidRPr="002F7D5A">
        <w:rPr>
          <w:sz w:val="24"/>
          <w:szCs w:val="24"/>
        </w:rPr>
        <w:t xml:space="preserve"> przedsiębiorstw</w:t>
      </w:r>
      <w:r w:rsidRPr="002F7D5A">
        <w:rPr>
          <w:sz w:val="24"/>
          <w:szCs w:val="24"/>
        </w:rPr>
        <w:t xml:space="preserve">a </w:t>
      </w:r>
      <w:r w:rsidR="0029566D" w:rsidRPr="002F7D5A">
        <w:rPr>
          <w:sz w:val="24"/>
          <w:szCs w:val="24"/>
        </w:rPr>
        <w:t xml:space="preserve">nie mają swoich siedzib w obrębie </w:t>
      </w:r>
      <w:r w:rsidR="003953CF" w:rsidRPr="002F7D5A">
        <w:rPr>
          <w:sz w:val="24"/>
          <w:szCs w:val="24"/>
        </w:rPr>
        <w:t>jurysdykcji</w:t>
      </w:r>
      <w:r w:rsidR="00650FBD">
        <w:rPr>
          <w:sz w:val="24"/>
          <w:szCs w:val="24"/>
        </w:rPr>
        <w:t>,</w:t>
      </w:r>
      <w:r w:rsidRPr="002F7D5A">
        <w:rPr>
          <w:sz w:val="24"/>
          <w:szCs w:val="24"/>
        </w:rPr>
        <w:t xml:space="preserve"> władze</w:t>
      </w:r>
      <w:r w:rsidR="005C5D92" w:rsidRPr="002F7D5A">
        <w:rPr>
          <w:sz w:val="24"/>
          <w:szCs w:val="24"/>
        </w:rPr>
        <w:t xml:space="preserve"> państwa </w:t>
      </w:r>
      <w:r w:rsidR="003953CF" w:rsidRPr="002F7D5A">
        <w:rPr>
          <w:sz w:val="24"/>
          <w:szCs w:val="24"/>
        </w:rPr>
        <w:t>powinny rozważyć</w:t>
      </w:r>
      <w:r w:rsidR="0029566D" w:rsidRPr="002F7D5A">
        <w:rPr>
          <w:sz w:val="24"/>
          <w:szCs w:val="24"/>
        </w:rPr>
        <w:t xml:space="preserve"> stworzenie sądom krajowym</w:t>
      </w:r>
      <w:r w:rsidR="003953CF" w:rsidRPr="002F7D5A">
        <w:rPr>
          <w:sz w:val="24"/>
          <w:szCs w:val="24"/>
        </w:rPr>
        <w:t xml:space="preserve"> </w:t>
      </w:r>
      <w:r w:rsidR="0029566D" w:rsidRPr="002F7D5A">
        <w:rPr>
          <w:sz w:val="24"/>
          <w:szCs w:val="24"/>
        </w:rPr>
        <w:t xml:space="preserve">możliwości </w:t>
      </w:r>
      <w:r w:rsidR="003953CF" w:rsidRPr="002F7D5A">
        <w:rPr>
          <w:sz w:val="24"/>
          <w:szCs w:val="24"/>
        </w:rPr>
        <w:t>spra</w:t>
      </w:r>
      <w:r w:rsidR="0029566D" w:rsidRPr="002F7D5A">
        <w:rPr>
          <w:sz w:val="24"/>
          <w:szCs w:val="24"/>
        </w:rPr>
        <w:t xml:space="preserve">wowania jurysdykcji nad roszczeniami cywilnymi dotyczącymi naruszeń praw człowieka związanych z biznesem przeciwko takiemu przedsiębiorstwu, </w:t>
      </w:r>
      <w:r w:rsidR="004A683D" w:rsidRPr="004A683D">
        <w:rPr>
          <w:sz w:val="24"/>
          <w:szCs w:val="24"/>
        </w:rPr>
        <w:t>gdy</w:t>
      </w:r>
      <w:r w:rsidR="004A683D">
        <w:rPr>
          <w:sz w:val="24"/>
          <w:szCs w:val="24"/>
        </w:rPr>
        <w:t xml:space="preserve"> nie istnieje inny właściwy sąd, które gwarantował</w:t>
      </w:r>
      <w:r w:rsidR="0029566D" w:rsidRPr="002F7D5A">
        <w:rPr>
          <w:sz w:val="24"/>
          <w:szCs w:val="24"/>
        </w:rPr>
        <w:t>by</w:t>
      </w:r>
      <w:r w:rsidR="00BB0039" w:rsidRPr="002F7D5A">
        <w:rPr>
          <w:sz w:val="24"/>
          <w:szCs w:val="24"/>
        </w:rPr>
        <w:t xml:space="preserve"> rzetelny proces </w:t>
      </w:r>
      <w:r w:rsidR="003953CF" w:rsidRPr="002F7D5A">
        <w:rPr>
          <w:sz w:val="24"/>
          <w:szCs w:val="24"/>
        </w:rPr>
        <w:t>(</w:t>
      </w:r>
      <w:r w:rsidR="00BB0039" w:rsidRPr="002F7D5A">
        <w:rPr>
          <w:i/>
          <w:sz w:val="24"/>
          <w:szCs w:val="24"/>
        </w:rPr>
        <w:t xml:space="preserve">forum </w:t>
      </w:r>
      <w:proofErr w:type="spellStart"/>
      <w:r w:rsidR="00BB0039" w:rsidRPr="002F7D5A">
        <w:rPr>
          <w:i/>
          <w:sz w:val="24"/>
          <w:szCs w:val="24"/>
        </w:rPr>
        <w:t>necessitatis</w:t>
      </w:r>
      <w:proofErr w:type="spellEnd"/>
      <w:r w:rsidR="00BB0039" w:rsidRPr="002F7D5A">
        <w:rPr>
          <w:sz w:val="24"/>
          <w:szCs w:val="24"/>
        </w:rPr>
        <w:t xml:space="preserve">) oraz istnieje </w:t>
      </w:r>
      <w:r w:rsidR="003953CF" w:rsidRPr="002F7D5A">
        <w:rPr>
          <w:sz w:val="24"/>
          <w:szCs w:val="24"/>
        </w:rPr>
        <w:t>wystarczająco ścisły związek z danym państw</w:t>
      </w:r>
      <w:r w:rsidR="00073FEE">
        <w:rPr>
          <w:sz w:val="24"/>
          <w:szCs w:val="24"/>
        </w:rPr>
        <w:t>em</w:t>
      </w:r>
      <w:r w:rsidR="003953CF" w:rsidRPr="002F7D5A">
        <w:rPr>
          <w:sz w:val="24"/>
          <w:szCs w:val="24"/>
        </w:rPr>
        <w:t xml:space="preserve"> członkowskim.</w:t>
      </w:r>
    </w:p>
    <w:p w:rsidR="003953CF" w:rsidRPr="002F7D5A" w:rsidRDefault="00A75D23" w:rsidP="00E7396B">
      <w:pPr>
        <w:pStyle w:val="Akapitzlist"/>
        <w:numPr>
          <w:ilvl w:val="0"/>
          <w:numId w:val="5"/>
        </w:numPr>
        <w:tabs>
          <w:tab w:val="left" w:pos="7230"/>
        </w:tabs>
        <w:spacing w:before="120" w:after="120" w:line="240" w:lineRule="auto"/>
        <w:contextualSpacing w:val="0"/>
        <w:jc w:val="both"/>
        <w:rPr>
          <w:sz w:val="24"/>
          <w:szCs w:val="24"/>
        </w:rPr>
      </w:pPr>
      <w:r>
        <w:rPr>
          <w:sz w:val="24"/>
          <w:szCs w:val="24"/>
        </w:rPr>
        <w:lastRenderedPageBreak/>
        <w:t>P</w:t>
      </w:r>
      <w:r w:rsidR="003953CF" w:rsidRPr="002F7D5A">
        <w:rPr>
          <w:sz w:val="24"/>
          <w:szCs w:val="24"/>
        </w:rPr>
        <w:t>aństwo członkowskie</w:t>
      </w:r>
      <w:r w:rsidR="00B547F0">
        <w:rPr>
          <w:sz w:val="24"/>
          <w:szCs w:val="24"/>
        </w:rPr>
        <w:t xml:space="preserve"> </w:t>
      </w:r>
      <w:r w:rsidR="00B547F0" w:rsidRPr="002F7D5A">
        <w:rPr>
          <w:sz w:val="24"/>
          <w:szCs w:val="24"/>
        </w:rPr>
        <w:t>powinno</w:t>
      </w:r>
      <w:r w:rsidR="00B547F0">
        <w:rPr>
          <w:sz w:val="24"/>
          <w:szCs w:val="24"/>
        </w:rPr>
        <w:t xml:space="preserve"> zapewnić</w:t>
      </w:r>
      <w:r w:rsidR="00B547F0" w:rsidRPr="002F7D5A">
        <w:rPr>
          <w:sz w:val="24"/>
          <w:szCs w:val="24"/>
        </w:rPr>
        <w:t xml:space="preserve"> takie środki ustawodawcze i inne, jakie mogą być konieczne do zapewnienia, aby roszczenia cywilne związane z naruszeniami praw człowieka </w:t>
      </w:r>
      <w:r w:rsidR="006B5BE9">
        <w:rPr>
          <w:sz w:val="24"/>
          <w:szCs w:val="24"/>
        </w:rPr>
        <w:t xml:space="preserve">dokonanymi </w:t>
      </w:r>
      <w:r w:rsidR="00B547F0" w:rsidRPr="002F7D5A">
        <w:rPr>
          <w:sz w:val="24"/>
          <w:szCs w:val="24"/>
        </w:rPr>
        <w:t>przez</w:t>
      </w:r>
      <w:r w:rsidR="00E92810">
        <w:rPr>
          <w:sz w:val="24"/>
          <w:szCs w:val="24"/>
        </w:rPr>
        <w:t xml:space="preserve"> </w:t>
      </w:r>
      <w:r w:rsidR="00B547F0" w:rsidRPr="002F7D5A">
        <w:rPr>
          <w:sz w:val="24"/>
          <w:szCs w:val="24"/>
        </w:rPr>
        <w:t>przedsiębiorstwa</w:t>
      </w:r>
      <w:r w:rsidR="00B547F0">
        <w:rPr>
          <w:sz w:val="24"/>
          <w:szCs w:val="24"/>
        </w:rPr>
        <w:t xml:space="preserve">, których </w:t>
      </w:r>
      <w:r w:rsidR="00D1669B">
        <w:rPr>
          <w:sz w:val="24"/>
          <w:szCs w:val="24"/>
        </w:rPr>
        <w:t>jest właścicielem</w:t>
      </w:r>
      <w:r w:rsidR="003953CF" w:rsidRPr="002F7D5A">
        <w:rPr>
          <w:sz w:val="24"/>
          <w:szCs w:val="24"/>
        </w:rPr>
        <w:t xml:space="preserve"> lub </w:t>
      </w:r>
      <w:r w:rsidR="00327E7C">
        <w:rPr>
          <w:sz w:val="24"/>
          <w:szCs w:val="24"/>
        </w:rPr>
        <w:t>które</w:t>
      </w:r>
      <w:r w:rsidR="00B547F0">
        <w:rPr>
          <w:sz w:val="24"/>
          <w:szCs w:val="24"/>
        </w:rPr>
        <w:t xml:space="preserve"> </w:t>
      </w:r>
      <w:r w:rsidR="003953CF" w:rsidRPr="002F7D5A">
        <w:rPr>
          <w:sz w:val="24"/>
          <w:szCs w:val="24"/>
        </w:rPr>
        <w:t>kontrol</w:t>
      </w:r>
      <w:r w:rsidR="00327E7C">
        <w:rPr>
          <w:sz w:val="24"/>
          <w:szCs w:val="24"/>
        </w:rPr>
        <w:t>uje</w:t>
      </w:r>
      <w:r w:rsidR="003953CF" w:rsidRPr="002F7D5A">
        <w:rPr>
          <w:sz w:val="24"/>
          <w:szCs w:val="24"/>
        </w:rPr>
        <w:t>, lub</w:t>
      </w:r>
      <w:r w:rsidR="00D1669B">
        <w:rPr>
          <w:sz w:val="24"/>
          <w:szCs w:val="24"/>
        </w:rPr>
        <w:t xml:space="preserve"> zawiera</w:t>
      </w:r>
      <w:r w:rsidR="009A5D58" w:rsidRPr="002F7D5A">
        <w:rPr>
          <w:sz w:val="24"/>
          <w:szCs w:val="24"/>
        </w:rPr>
        <w:t xml:space="preserve"> </w:t>
      </w:r>
      <w:r w:rsidR="00B547F0">
        <w:rPr>
          <w:sz w:val="24"/>
          <w:szCs w:val="24"/>
        </w:rPr>
        <w:t xml:space="preserve">z nimi </w:t>
      </w:r>
      <w:r w:rsidR="009A5D58" w:rsidRPr="002F7D5A">
        <w:rPr>
          <w:sz w:val="24"/>
          <w:szCs w:val="24"/>
        </w:rPr>
        <w:t xml:space="preserve">umowy </w:t>
      </w:r>
      <w:r w:rsidR="004A683D">
        <w:rPr>
          <w:sz w:val="24"/>
          <w:szCs w:val="24"/>
        </w:rPr>
        <w:t>w zakresie</w:t>
      </w:r>
      <w:r w:rsidR="003953CF" w:rsidRPr="002F7D5A">
        <w:rPr>
          <w:sz w:val="24"/>
          <w:szCs w:val="24"/>
        </w:rPr>
        <w:t xml:space="preserve"> świadczenia usług publicznych, </w:t>
      </w:r>
      <w:r w:rsidR="005C5D92" w:rsidRPr="002F7D5A">
        <w:rPr>
          <w:sz w:val="24"/>
          <w:szCs w:val="24"/>
        </w:rPr>
        <w:t>mogły</w:t>
      </w:r>
      <w:r w:rsidR="003953CF" w:rsidRPr="002F7D5A">
        <w:rPr>
          <w:sz w:val="24"/>
          <w:szCs w:val="24"/>
        </w:rPr>
        <w:t xml:space="preserve"> zostać wniesione do</w:t>
      </w:r>
      <w:r w:rsidR="009A5D58" w:rsidRPr="002F7D5A">
        <w:rPr>
          <w:sz w:val="24"/>
          <w:szCs w:val="24"/>
        </w:rPr>
        <w:t xml:space="preserve"> </w:t>
      </w:r>
      <w:r w:rsidR="003953CF" w:rsidRPr="002F7D5A">
        <w:rPr>
          <w:sz w:val="24"/>
          <w:szCs w:val="24"/>
        </w:rPr>
        <w:t xml:space="preserve">sądów krajowych, oraz że </w:t>
      </w:r>
      <w:r w:rsidR="007052F3" w:rsidRPr="002F7D5A">
        <w:rPr>
          <w:sz w:val="24"/>
          <w:szCs w:val="24"/>
        </w:rPr>
        <w:t xml:space="preserve">w takich przypadkach </w:t>
      </w:r>
      <w:r w:rsidR="00D1669B">
        <w:rPr>
          <w:sz w:val="24"/>
          <w:szCs w:val="24"/>
        </w:rPr>
        <w:t>po</w:t>
      </w:r>
      <w:r w:rsidR="002F47EB" w:rsidRPr="002F7D5A">
        <w:rPr>
          <w:sz w:val="24"/>
          <w:szCs w:val="24"/>
        </w:rPr>
        <w:t xml:space="preserve">wstrzyma się od powoływania się </w:t>
      </w:r>
      <w:r w:rsidR="00477037" w:rsidRPr="002F7D5A">
        <w:rPr>
          <w:sz w:val="24"/>
          <w:szCs w:val="24"/>
        </w:rPr>
        <w:t>na jakiekolwiek</w:t>
      </w:r>
      <w:r w:rsidR="002C57D3" w:rsidRPr="002F7D5A">
        <w:rPr>
          <w:sz w:val="24"/>
          <w:szCs w:val="24"/>
        </w:rPr>
        <w:t xml:space="preserve"> przywileje lub immunitety krajowe</w:t>
      </w:r>
      <w:r w:rsidR="003953CF" w:rsidRPr="002F7D5A">
        <w:rPr>
          <w:sz w:val="24"/>
          <w:szCs w:val="24"/>
        </w:rPr>
        <w:t>.</w:t>
      </w:r>
    </w:p>
    <w:p w:rsidR="003953CF" w:rsidRPr="002F7D5A" w:rsidRDefault="003953CF" w:rsidP="00E7396B">
      <w:pPr>
        <w:pStyle w:val="Akapitzlist"/>
        <w:numPr>
          <w:ilvl w:val="0"/>
          <w:numId w:val="5"/>
        </w:numPr>
        <w:spacing w:before="120" w:after="120" w:line="240" w:lineRule="auto"/>
        <w:contextualSpacing w:val="0"/>
        <w:jc w:val="both"/>
        <w:rPr>
          <w:sz w:val="24"/>
          <w:szCs w:val="24"/>
        </w:rPr>
      </w:pPr>
      <w:r w:rsidRPr="002F7D5A">
        <w:rPr>
          <w:sz w:val="24"/>
          <w:szCs w:val="24"/>
        </w:rPr>
        <w:t>Państwa członkowskie powinny stosować takie środki ustawodawcze i inne, jakie mogą być konie</w:t>
      </w:r>
      <w:r w:rsidR="009A5D58" w:rsidRPr="002F7D5A">
        <w:rPr>
          <w:sz w:val="24"/>
          <w:szCs w:val="24"/>
        </w:rPr>
        <w:t>czne do zapewnienia, że roszczenia</w:t>
      </w:r>
      <w:r w:rsidRPr="002F7D5A">
        <w:rPr>
          <w:sz w:val="24"/>
          <w:szCs w:val="24"/>
        </w:rPr>
        <w:t xml:space="preserve"> cyw</w:t>
      </w:r>
      <w:r w:rsidR="009A5D58" w:rsidRPr="002F7D5A">
        <w:rPr>
          <w:sz w:val="24"/>
          <w:szCs w:val="24"/>
        </w:rPr>
        <w:t>ilne</w:t>
      </w:r>
      <w:r w:rsidR="00F179C7" w:rsidRPr="002F7D5A">
        <w:rPr>
          <w:sz w:val="24"/>
          <w:szCs w:val="24"/>
        </w:rPr>
        <w:t xml:space="preserve"> dotyczące</w:t>
      </w:r>
      <w:r w:rsidRPr="002F7D5A">
        <w:rPr>
          <w:sz w:val="24"/>
          <w:szCs w:val="24"/>
        </w:rPr>
        <w:t xml:space="preserve"> </w:t>
      </w:r>
      <w:r w:rsidR="009A5D58" w:rsidRPr="002F7D5A">
        <w:rPr>
          <w:sz w:val="24"/>
          <w:szCs w:val="24"/>
        </w:rPr>
        <w:t>naruszeń</w:t>
      </w:r>
      <w:r w:rsidRPr="002F7D5A">
        <w:rPr>
          <w:sz w:val="24"/>
          <w:szCs w:val="24"/>
        </w:rPr>
        <w:t xml:space="preserve"> praw człowieka</w:t>
      </w:r>
      <w:r w:rsidR="009A5D58" w:rsidRPr="002F7D5A">
        <w:rPr>
          <w:sz w:val="24"/>
          <w:szCs w:val="24"/>
        </w:rPr>
        <w:t xml:space="preserve"> związanych z biznesem</w:t>
      </w:r>
      <w:r w:rsidR="00F179C7" w:rsidRPr="002F7D5A">
        <w:rPr>
          <w:sz w:val="24"/>
          <w:szCs w:val="24"/>
        </w:rPr>
        <w:t xml:space="preserve"> </w:t>
      </w:r>
      <w:r w:rsidR="007052F3" w:rsidRPr="002F7D5A">
        <w:rPr>
          <w:sz w:val="24"/>
          <w:szCs w:val="24"/>
        </w:rPr>
        <w:t>przeciwko</w:t>
      </w:r>
      <w:r w:rsidR="00F179C7" w:rsidRPr="002F7D5A">
        <w:rPr>
          <w:sz w:val="24"/>
          <w:szCs w:val="24"/>
        </w:rPr>
        <w:t xml:space="preserve"> przedsiębiorstw</w:t>
      </w:r>
      <w:r w:rsidR="007052F3" w:rsidRPr="002F7D5A">
        <w:rPr>
          <w:sz w:val="24"/>
          <w:szCs w:val="24"/>
        </w:rPr>
        <w:t>om</w:t>
      </w:r>
      <w:r w:rsidR="00F179C7" w:rsidRPr="002F7D5A">
        <w:rPr>
          <w:sz w:val="24"/>
          <w:szCs w:val="24"/>
        </w:rPr>
        <w:t xml:space="preserve"> </w:t>
      </w:r>
      <w:r w:rsidRPr="002F7D5A">
        <w:rPr>
          <w:sz w:val="24"/>
          <w:szCs w:val="24"/>
        </w:rPr>
        <w:t>podlegających ich jurysdykcji nie są nad</w:t>
      </w:r>
      <w:r w:rsidR="00F179C7" w:rsidRPr="002F7D5A">
        <w:rPr>
          <w:sz w:val="24"/>
          <w:szCs w:val="24"/>
        </w:rPr>
        <w:t>miernie ograniczone stosowaniem doktryn, takich</w:t>
      </w:r>
      <w:r w:rsidRPr="002F7D5A">
        <w:rPr>
          <w:sz w:val="24"/>
          <w:szCs w:val="24"/>
        </w:rPr>
        <w:t xml:space="preserve"> jak </w:t>
      </w:r>
      <w:r w:rsidR="00422DD2">
        <w:rPr>
          <w:sz w:val="24"/>
          <w:szCs w:val="24"/>
        </w:rPr>
        <w:t>„</w:t>
      </w:r>
      <w:r w:rsidR="00460409" w:rsidRPr="002F7D5A">
        <w:rPr>
          <w:sz w:val="24"/>
          <w:szCs w:val="24"/>
        </w:rPr>
        <w:t>akt władzy publicznej</w:t>
      </w:r>
      <w:r w:rsidR="00422DD2">
        <w:rPr>
          <w:sz w:val="24"/>
          <w:szCs w:val="24"/>
        </w:rPr>
        <w:t>” lub „kwestia polityczna”</w:t>
      </w:r>
      <w:r w:rsidRPr="002F7D5A">
        <w:rPr>
          <w:sz w:val="24"/>
          <w:szCs w:val="24"/>
        </w:rPr>
        <w:t>.</w:t>
      </w:r>
    </w:p>
    <w:p w:rsidR="003953CF" w:rsidRPr="002F7D5A" w:rsidRDefault="003953CF" w:rsidP="00E7396B">
      <w:pPr>
        <w:pStyle w:val="Akapitzlist"/>
        <w:numPr>
          <w:ilvl w:val="0"/>
          <w:numId w:val="5"/>
        </w:numPr>
        <w:spacing w:before="120" w:after="120" w:line="240" w:lineRule="auto"/>
        <w:contextualSpacing w:val="0"/>
        <w:jc w:val="both"/>
        <w:rPr>
          <w:sz w:val="24"/>
          <w:szCs w:val="24"/>
        </w:rPr>
      </w:pPr>
      <w:r w:rsidRPr="002F7D5A">
        <w:rPr>
          <w:sz w:val="24"/>
          <w:szCs w:val="24"/>
        </w:rPr>
        <w:t xml:space="preserve">Państwa członkowskie powinny rozważyć przyjęcie środków, które </w:t>
      </w:r>
      <w:r w:rsidR="00460409" w:rsidRPr="002F7D5A">
        <w:rPr>
          <w:sz w:val="24"/>
          <w:szCs w:val="24"/>
        </w:rPr>
        <w:t>umożliwiałyby podmiotom, takim</w:t>
      </w:r>
      <w:r w:rsidRPr="002F7D5A">
        <w:rPr>
          <w:sz w:val="24"/>
          <w:szCs w:val="24"/>
        </w:rPr>
        <w:t xml:space="preserve"> jak fundacje, stowarzyszenia, związki zawodowe i inne organizacje w</w:t>
      </w:r>
      <w:r w:rsidR="00460409" w:rsidRPr="002F7D5A">
        <w:rPr>
          <w:sz w:val="24"/>
          <w:szCs w:val="24"/>
        </w:rPr>
        <w:t>ystępować z roszczeniem</w:t>
      </w:r>
      <w:r w:rsidRPr="002F7D5A">
        <w:rPr>
          <w:sz w:val="24"/>
          <w:szCs w:val="24"/>
        </w:rPr>
        <w:t xml:space="preserve"> w imieniu domniemanych ofiar.</w:t>
      </w:r>
    </w:p>
    <w:p w:rsidR="003953CF" w:rsidRPr="002F7D5A" w:rsidRDefault="003953CF" w:rsidP="00E7396B">
      <w:pPr>
        <w:pStyle w:val="Akapitzlist"/>
        <w:numPr>
          <w:ilvl w:val="0"/>
          <w:numId w:val="5"/>
        </w:numPr>
        <w:spacing w:before="120" w:after="120" w:line="240" w:lineRule="auto"/>
        <w:contextualSpacing w:val="0"/>
        <w:jc w:val="both"/>
        <w:rPr>
          <w:sz w:val="24"/>
          <w:szCs w:val="24"/>
        </w:rPr>
      </w:pPr>
      <w:r w:rsidRPr="002F7D5A">
        <w:rPr>
          <w:sz w:val="24"/>
          <w:szCs w:val="24"/>
        </w:rPr>
        <w:t xml:space="preserve">Państwa członkowskie powinny stosować takie </w:t>
      </w:r>
      <w:r w:rsidR="007052F3" w:rsidRPr="002F7D5A">
        <w:rPr>
          <w:sz w:val="24"/>
          <w:szCs w:val="24"/>
        </w:rPr>
        <w:t xml:space="preserve">środki </w:t>
      </w:r>
      <w:r w:rsidRPr="002F7D5A">
        <w:rPr>
          <w:sz w:val="24"/>
          <w:szCs w:val="24"/>
        </w:rPr>
        <w:t xml:space="preserve">ustawodawcze lub inne </w:t>
      </w:r>
      <w:r w:rsidR="007052F3" w:rsidRPr="002F7D5A">
        <w:rPr>
          <w:sz w:val="24"/>
          <w:szCs w:val="24"/>
        </w:rPr>
        <w:t>właściwe</w:t>
      </w:r>
      <w:r w:rsidRPr="002F7D5A">
        <w:rPr>
          <w:sz w:val="24"/>
          <w:szCs w:val="24"/>
        </w:rPr>
        <w:t xml:space="preserve">, jakie mogą być niezbędne w celu zapewnienia, </w:t>
      </w:r>
      <w:r w:rsidR="002C57D3" w:rsidRPr="002F7D5A">
        <w:rPr>
          <w:sz w:val="24"/>
          <w:szCs w:val="24"/>
        </w:rPr>
        <w:t>by</w:t>
      </w:r>
      <w:r w:rsidRPr="002F7D5A">
        <w:rPr>
          <w:sz w:val="24"/>
          <w:szCs w:val="24"/>
        </w:rPr>
        <w:t xml:space="preserve"> sądy krajowe </w:t>
      </w:r>
      <w:r w:rsidR="002C57D3" w:rsidRPr="002F7D5A">
        <w:rPr>
          <w:sz w:val="24"/>
          <w:szCs w:val="24"/>
        </w:rPr>
        <w:t>powstrzymały się od stosowania</w:t>
      </w:r>
      <w:r w:rsidR="00460409" w:rsidRPr="002F7D5A">
        <w:rPr>
          <w:sz w:val="24"/>
          <w:szCs w:val="24"/>
        </w:rPr>
        <w:t xml:space="preserve"> prawa, które jest</w:t>
      </w:r>
      <w:r w:rsidRPr="002F7D5A">
        <w:rPr>
          <w:sz w:val="24"/>
          <w:szCs w:val="24"/>
        </w:rPr>
        <w:t xml:space="preserve"> niezgodne z ich zobowiązaniami międ</w:t>
      </w:r>
      <w:r w:rsidR="00460409" w:rsidRPr="002F7D5A">
        <w:rPr>
          <w:sz w:val="24"/>
          <w:szCs w:val="24"/>
        </w:rPr>
        <w:t>zynarodowymi, w szczególności tymi</w:t>
      </w:r>
      <w:r w:rsidRPr="002F7D5A">
        <w:rPr>
          <w:sz w:val="24"/>
          <w:szCs w:val="24"/>
        </w:rPr>
        <w:t>, które wynikają z obowiązujących międzynarodowych standardów praw człowieka.</w:t>
      </w:r>
    </w:p>
    <w:p w:rsidR="003953CF" w:rsidRPr="002F7D5A" w:rsidRDefault="003953CF" w:rsidP="00E7396B">
      <w:pPr>
        <w:pStyle w:val="Akapitzlist"/>
        <w:numPr>
          <w:ilvl w:val="0"/>
          <w:numId w:val="5"/>
        </w:numPr>
        <w:spacing w:before="120" w:after="120" w:line="240" w:lineRule="auto"/>
        <w:contextualSpacing w:val="0"/>
        <w:jc w:val="both"/>
        <w:rPr>
          <w:sz w:val="24"/>
          <w:szCs w:val="24"/>
        </w:rPr>
      </w:pPr>
      <w:r w:rsidRPr="002F7D5A">
        <w:rPr>
          <w:sz w:val="24"/>
          <w:szCs w:val="24"/>
        </w:rPr>
        <w:t xml:space="preserve">Gdy </w:t>
      </w:r>
      <w:r w:rsidR="00460409" w:rsidRPr="002F7D5A">
        <w:rPr>
          <w:sz w:val="24"/>
          <w:szCs w:val="24"/>
        </w:rPr>
        <w:t xml:space="preserve">domniemane </w:t>
      </w:r>
      <w:r w:rsidRPr="002F7D5A">
        <w:rPr>
          <w:sz w:val="24"/>
          <w:szCs w:val="24"/>
        </w:rPr>
        <w:t xml:space="preserve">ofiary </w:t>
      </w:r>
      <w:r w:rsidR="00460409" w:rsidRPr="002F7D5A">
        <w:rPr>
          <w:sz w:val="24"/>
          <w:szCs w:val="24"/>
        </w:rPr>
        <w:t>naruszeń</w:t>
      </w:r>
      <w:r w:rsidRPr="002F7D5A">
        <w:rPr>
          <w:sz w:val="24"/>
          <w:szCs w:val="24"/>
        </w:rPr>
        <w:t xml:space="preserve"> praw człowieka</w:t>
      </w:r>
      <w:r w:rsidR="00460409" w:rsidRPr="002F7D5A">
        <w:rPr>
          <w:sz w:val="24"/>
          <w:szCs w:val="24"/>
        </w:rPr>
        <w:t xml:space="preserve"> związanych z biznesem</w:t>
      </w:r>
      <w:r w:rsidRPr="002F7D5A">
        <w:rPr>
          <w:sz w:val="24"/>
          <w:szCs w:val="24"/>
        </w:rPr>
        <w:t xml:space="preserve"> </w:t>
      </w:r>
      <w:r w:rsidR="00460409" w:rsidRPr="002F7D5A">
        <w:rPr>
          <w:sz w:val="24"/>
          <w:szCs w:val="24"/>
        </w:rPr>
        <w:t>wniosą roszczenia cywilne związane</w:t>
      </w:r>
      <w:r w:rsidRPr="002F7D5A">
        <w:rPr>
          <w:sz w:val="24"/>
          <w:szCs w:val="24"/>
        </w:rPr>
        <w:t xml:space="preserve"> z takimi nadużyciami </w:t>
      </w:r>
      <w:r w:rsidR="00460409" w:rsidRPr="002F7D5A">
        <w:rPr>
          <w:sz w:val="24"/>
          <w:szCs w:val="24"/>
        </w:rPr>
        <w:t>przeciwko przedsiębiorstwom</w:t>
      </w:r>
      <w:r w:rsidRPr="002F7D5A">
        <w:rPr>
          <w:sz w:val="24"/>
          <w:szCs w:val="24"/>
        </w:rPr>
        <w:t>, państwa cz</w:t>
      </w:r>
      <w:r w:rsidR="00460409" w:rsidRPr="002F7D5A">
        <w:rPr>
          <w:sz w:val="24"/>
          <w:szCs w:val="24"/>
        </w:rPr>
        <w:t>łonkowskie powinny zapewnić, że</w:t>
      </w:r>
      <w:r w:rsidRPr="002F7D5A">
        <w:rPr>
          <w:sz w:val="24"/>
          <w:szCs w:val="24"/>
        </w:rPr>
        <w:t xml:space="preserve"> ich systemy prawne w w</w:t>
      </w:r>
      <w:r w:rsidR="00460409" w:rsidRPr="002F7D5A">
        <w:rPr>
          <w:sz w:val="24"/>
          <w:szCs w:val="24"/>
        </w:rPr>
        <w:t>ystarczającym stopniu gwarantują</w:t>
      </w:r>
      <w:r w:rsidRPr="002F7D5A">
        <w:rPr>
          <w:sz w:val="24"/>
          <w:szCs w:val="24"/>
        </w:rPr>
        <w:t xml:space="preserve"> równość broni w ro</w:t>
      </w:r>
      <w:r w:rsidR="00847C1C" w:rsidRPr="002F7D5A">
        <w:rPr>
          <w:sz w:val="24"/>
          <w:szCs w:val="24"/>
        </w:rPr>
        <w:t>zumieniu art.</w:t>
      </w:r>
      <w:r w:rsidR="00460409" w:rsidRPr="002F7D5A">
        <w:rPr>
          <w:sz w:val="24"/>
          <w:szCs w:val="24"/>
        </w:rPr>
        <w:t xml:space="preserve"> 6</w:t>
      </w:r>
      <w:r w:rsidRPr="002F7D5A">
        <w:rPr>
          <w:sz w:val="24"/>
          <w:szCs w:val="24"/>
        </w:rPr>
        <w:t xml:space="preserve"> Konwencji </w:t>
      </w:r>
      <w:r w:rsidR="00460409" w:rsidRPr="002F7D5A">
        <w:rPr>
          <w:sz w:val="24"/>
          <w:szCs w:val="24"/>
        </w:rPr>
        <w:t>o ochronie praw c</w:t>
      </w:r>
      <w:r w:rsidRPr="002F7D5A">
        <w:rPr>
          <w:sz w:val="24"/>
          <w:szCs w:val="24"/>
        </w:rPr>
        <w:t>złowieka</w:t>
      </w:r>
      <w:r w:rsidR="00460409" w:rsidRPr="002F7D5A">
        <w:rPr>
          <w:sz w:val="24"/>
          <w:szCs w:val="24"/>
        </w:rPr>
        <w:t xml:space="preserve"> i podstawowych wolności</w:t>
      </w:r>
      <w:r w:rsidRPr="002F7D5A">
        <w:rPr>
          <w:sz w:val="24"/>
          <w:szCs w:val="24"/>
        </w:rPr>
        <w:t xml:space="preserve">. W szczególności powinny one zapewnić w swoich systemach prawnych </w:t>
      </w:r>
      <w:r w:rsidR="00460409" w:rsidRPr="002F7D5A">
        <w:rPr>
          <w:sz w:val="24"/>
          <w:szCs w:val="24"/>
        </w:rPr>
        <w:t xml:space="preserve">dostęp do </w:t>
      </w:r>
      <w:r w:rsidRPr="002F7D5A">
        <w:rPr>
          <w:sz w:val="24"/>
          <w:szCs w:val="24"/>
        </w:rPr>
        <w:t xml:space="preserve">pomocy </w:t>
      </w:r>
      <w:r w:rsidR="00460409" w:rsidRPr="002F7D5A">
        <w:rPr>
          <w:sz w:val="24"/>
          <w:szCs w:val="24"/>
        </w:rPr>
        <w:t>prawnej</w:t>
      </w:r>
      <w:r w:rsidR="00B50794" w:rsidRPr="002F7D5A">
        <w:rPr>
          <w:sz w:val="24"/>
          <w:szCs w:val="24"/>
        </w:rPr>
        <w:t xml:space="preserve"> </w:t>
      </w:r>
      <w:r w:rsidR="00847C1C" w:rsidRPr="002F7D5A">
        <w:rPr>
          <w:sz w:val="24"/>
          <w:szCs w:val="24"/>
        </w:rPr>
        <w:t>w zakresie roszczeń dotyczących</w:t>
      </w:r>
      <w:r w:rsidR="00B50794" w:rsidRPr="002F7D5A">
        <w:rPr>
          <w:sz w:val="24"/>
          <w:szCs w:val="24"/>
        </w:rPr>
        <w:t xml:space="preserve"> takich</w:t>
      </w:r>
      <w:r w:rsidR="00847C1C" w:rsidRPr="002F7D5A">
        <w:rPr>
          <w:sz w:val="24"/>
          <w:szCs w:val="24"/>
        </w:rPr>
        <w:t xml:space="preserve"> naruszeń</w:t>
      </w:r>
      <w:r w:rsidRPr="002F7D5A">
        <w:rPr>
          <w:sz w:val="24"/>
          <w:szCs w:val="24"/>
        </w:rPr>
        <w:t>. Taka pomoc prawna powinna być udostępniona w sposób praktyczny i skuteczny.</w:t>
      </w:r>
    </w:p>
    <w:p w:rsidR="003953CF" w:rsidRPr="002F7D5A" w:rsidRDefault="003953CF" w:rsidP="00E7396B">
      <w:pPr>
        <w:pStyle w:val="Akapitzlist"/>
        <w:numPr>
          <w:ilvl w:val="0"/>
          <w:numId w:val="5"/>
        </w:numPr>
        <w:spacing w:before="120" w:after="120" w:line="240" w:lineRule="auto"/>
        <w:contextualSpacing w:val="0"/>
        <w:jc w:val="both"/>
        <w:rPr>
          <w:sz w:val="24"/>
          <w:szCs w:val="24"/>
        </w:rPr>
      </w:pPr>
      <w:r w:rsidRPr="002F7D5A">
        <w:rPr>
          <w:sz w:val="24"/>
          <w:szCs w:val="24"/>
        </w:rPr>
        <w:t>Państwa członkowskie powinny rozważyć mo</w:t>
      </w:r>
      <w:r w:rsidR="00B07C46" w:rsidRPr="002F7D5A">
        <w:rPr>
          <w:sz w:val="24"/>
          <w:szCs w:val="24"/>
        </w:rPr>
        <w:t xml:space="preserve">żliwe rozwiązania dla zbiorowego rozpatrzenia </w:t>
      </w:r>
      <w:r w:rsidRPr="002F7D5A">
        <w:rPr>
          <w:sz w:val="24"/>
          <w:szCs w:val="24"/>
        </w:rPr>
        <w:t xml:space="preserve">podobnych </w:t>
      </w:r>
      <w:r w:rsidR="00635937">
        <w:rPr>
          <w:sz w:val="24"/>
          <w:szCs w:val="24"/>
        </w:rPr>
        <w:t>spraw dotyczących</w:t>
      </w:r>
      <w:r w:rsidR="00635937" w:rsidRPr="002F7D5A">
        <w:rPr>
          <w:sz w:val="24"/>
          <w:szCs w:val="24"/>
        </w:rPr>
        <w:t xml:space="preserve"> </w:t>
      </w:r>
      <w:r w:rsidRPr="002F7D5A">
        <w:rPr>
          <w:sz w:val="24"/>
          <w:szCs w:val="24"/>
        </w:rPr>
        <w:t>narusze</w:t>
      </w:r>
      <w:r w:rsidR="00635937">
        <w:rPr>
          <w:sz w:val="24"/>
          <w:szCs w:val="24"/>
        </w:rPr>
        <w:t>ń</w:t>
      </w:r>
      <w:r w:rsidRPr="002F7D5A">
        <w:rPr>
          <w:sz w:val="24"/>
          <w:szCs w:val="24"/>
        </w:rPr>
        <w:t xml:space="preserve"> praw człowieka</w:t>
      </w:r>
      <w:r w:rsidR="00B50794" w:rsidRPr="002F7D5A">
        <w:rPr>
          <w:sz w:val="24"/>
          <w:szCs w:val="24"/>
        </w:rPr>
        <w:t xml:space="preserve"> związanych z biznesem</w:t>
      </w:r>
      <w:r w:rsidRPr="002F7D5A">
        <w:rPr>
          <w:sz w:val="24"/>
          <w:szCs w:val="24"/>
        </w:rPr>
        <w:t>.</w:t>
      </w:r>
    </w:p>
    <w:p w:rsidR="003953CF" w:rsidRDefault="003953CF" w:rsidP="00E7396B">
      <w:pPr>
        <w:pStyle w:val="Akapitzlist"/>
        <w:numPr>
          <w:ilvl w:val="0"/>
          <w:numId w:val="5"/>
        </w:numPr>
        <w:spacing w:before="120" w:after="120" w:line="240" w:lineRule="auto"/>
        <w:contextualSpacing w:val="0"/>
        <w:jc w:val="both"/>
        <w:rPr>
          <w:sz w:val="24"/>
          <w:szCs w:val="24"/>
        </w:rPr>
      </w:pPr>
      <w:r w:rsidRPr="002F7D5A">
        <w:rPr>
          <w:sz w:val="24"/>
          <w:szCs w:val="24"/>
        </w:rPr>
        <w:t>Państwa członko</w:t>
      </w:r>
      <w:r w:rsidR="00B07C46" w:rsidRPr="002F7D5A">
        <w:rPr>
          <w:sz w:val="24"/>
          <w:szCs w:val="24"/>
        </w:rPr>
        <w:t xml:space="preserve">wskie powinny rozważyć dokonanie </w:t>
      </w:r>
      <w:r w:rsidR="00011623">
        <w:rPr>
          <w:sz w:val="24"/>
          <w:szCs w:val="24"/>
        </w:rPr>
        <w:t xml:space="preserve">rewizji </w:t>
      </w:r>
      <w:r w:rsidRPr="002F7D5A">
        <w:rPr>
          <w:sz w:val="24"/>
          <w:szCs w:val="24"/>
        </w:rPr>
        <w:t xml:space="preserve">swoich procedur cywilnych, </w:t>
      </w:r>
      <w:r w:rsidR="0009770B" w:rsidRPr="002F7D5A">
        <w:rPr>
          <w:sz w:val="24"/>
          <w:szCs w:val="24"/>
        </w:rPr>
        <w:t xml:space="preserve">w przypadku gdy </w:t>
      </w:r>
      <w:r w:rsidRPr="002F7D5A">
        <w:rPr>
          <w:sz w:val="24"/>
          <w:szCs w:val="24"/>
        </w:rPr>
        <w:t xml:space="preserve">obowiązujące przepisy utrudniają dostęp do informacji </w:t>
      </w:r>
      <w:r w:rsidR="00B07C46" w:rsidRPr="002F7D5A">
        <w:rPr>
          <w:sz w:val="24"/>
          <w:szCs w:val="24"/>
        </w:rPr>
        <w:t xml:space="preserve">będących </w:t>
      </w:r>
      <w:r w:rsidRPr="002F7D5A">
        <w:rPr>
          <w:sz w:val="24"/>
          <w:szCs w:val="24"/>
        </w:rPr>
        <w:t xml:space="preserve">w posiadaniu pozwanego lub osoby trzeciej, jeżeli takie informacje są istotne </w:t>
      </w:r>
      <w:r w:rsidR="00B07C46" w:rsidRPr="002F7D5A">
        <w:rPr>
          <w:sz w:val="24"/>
          <w:szCs w:val="24"/>
        </w:rPr>
        <w:t>dla uzasadnienia</w:t>
      </w:r>
      <w:r w:rsidRPr="002F7D5A">
        <w:rPr>
          <w:sz w:val="24"/>
          <w:szCs w:val="24"/>
        </w:rPr>
        <w:t xml:space="preserve"> roszczeń ofiar </w:t>
      </w:r>
      <w:r w:rsidR="00B07C46" w:rsidRPr="002F7D5A">
        <w:rPr>
          <w:sz w:val="24"/>
          <w:szCs w:val="24"/>
        </w:rPr>
        <w:t>dotyczących naruszenia</w:t>
      </w:r>
      <w:r w:rsidRPr="002F7D5A">
        <w:rPr>
          <w:sz w:val="24"/>
          <w:szCs w:val="24"/>
        </w:rPr>
        <w:t xml:space="preserve"> praw człowieka</w:t>
      </w:r>
      <w:r w:rsidR="00B07C46" w:rsidRPr="002F7D5A">
        <w:rPr>
          <w:sz w:val="24"/>
          <w:szCs w:val="24"/>
        </w:rPr>
        <w:t xml:space="preserve"> związanych z biznesem</w:t>
      </w:r>
      <w:r w:rsidRPr="002F7D5A">
        <w:rPr>
          <w:sz w:val="24"/>
          <w:szCs w:val="24"/>
        </w:rPr>
        <w:t>, z</w:t>
      </w:r>
      <w:r w:rsidR="00B07C46" w:rsidRPr="002F7D5A">
        <w:rPr>
          <w:sz w:val="24"/>
          <w:szCs w:val="24"/>
        </w:rPr>
        <w:t xml:space="preserve"> należytym</w:t>
      </w:r>
      <w:r w:rsidRPr="002F7D5A">
        <w:rPr>
          <w:sz w:val="24"/>
          <w:szCs w:val="24"/>
        </w:rPr>
        <w:t xml:space="preserve"> </w:t>
      </w:r>
      <w:r w:rsidR="00B07C46" w:rsidRPr="002F7D5A">
        <w:rPr>
          <w:sz w:val="24"/>
          <w:szCs w:val="24"/>
        </w:rPr>
        <w:t>poszanowaniem</w:t>
      </w:r>
      <w:r w:rsidRPr="002F7D5A">
        <w:rPr>
          <w:sz w:val="24"/>
          <w:szCs w:val="24"/>
        </w:rPr>
        <w:t xml:space="preserve"> względów poufnoś</w:t>
      </w:r>
      <w:r w:rsidR="00B07C46" w:rsidRPr="002F7D5A">
        <w:rPr>
          <w:sz w:val="24"/>
          <w:szCs w:val="24"/>
        </w:rPr>
        <w:t>ci.</w:t>
      </w:r>
    </w:p>
    <w:p w:rsidR="00E7396B" w:rsidRPr="002F7D5A" w:rsidRDefault="00E7396B" w:rsidP="00E7396B">
      <w:pPr>
        <w:pStyle w:val="Akapitzlist"/>
        <w:spacing w:before="120" w:after="120" w:line="240" w:lineRule="auto"/>
        <w:ind w:left="927"/>
        <w:contextualSpacing w:val="0"/>
        <w:jc w:val="both"/>
        <w:rPr>
          <w:sz w:val="24"/>
          <w:szCs w:val="24"/>
        </w:rPr>
      </w:pPr>
    </w:p>
    <w:p w:rsidR="003953CF" w:rsidRPr="002F7D5A" w:rsidRDefault="003953CF" w:rsidP="00E7396B">
      <w:pPr>
        <w:pStyle w:val="Akapitzlist"/>
        <w:numPr>
          <w:ilvl w:val="0"/>
          <w:numId w:val="11"/>
        </w:numPr>
        <w:spacing w:before="120" w:after="120" w:line="240" w:lineRule="auto"/>
        <w:contextualSpacing w:val="0"/>
        <w:jc w:val="both"/>
        <w:rPr>
          <w:b/>
          <w:i/>
          <w:sz w:val="24"/>
          <w:szCs w:val="24"/>
        </w:rPr>
      </w:pPr>
      <w:r w:rsidRPr="002F7D5A">
        <w:rPr>
          <w:b/>
          <w:i/>
          <w:sz w:val="24"/>
          <w:szCs w:val="24"/>
        </w:rPr>
        <w:t>O</w:t>
      </w:r>
      <w:r w:rsidR="00460409" w:rsidRPr="002F7D5A">
        <w:rPr>
          <w:b/>
          <w:i/>
          <w:sz w:val="24"/>
          <w:szCs w:val="24"/>
        </w:rPr>
        <w:t xml:space="preserve">dpowiedzialność karna lub </w:t>
      </w:r>
      <w:r w:rsidR="008A6763">
        <w:rPr>
          <w:b/>
          <w:i/>
          <w:sz w:val="24"/>
          <w:szCs w:val="24"/>
        </w:rPr>
        <w:t xml:space="preserve">równoważna </w:t>
      </w:r>
      <w:r w:rsidRPr="002F7D5A">
        <w:rPr>
          <w:b/>
          <w:i/>
          <w:sz w:val="24"/>
          <w:szCs w:val="24"/>
        </w:rPr>
        <w:t xml:space="preserve">za naruszenia praw człowieka </w:t>
      </w:r>
      <w:r w:rsidR="00477037" w:rsidRPr="002F7D5A">
        <w:rPr>
          <w:b/>
          <w:i/>
          <w:sz w:val="24"/>
          <w:szCs w:val="24"/>
        </w:rPr>
        <w:t>związane z</w:t>
      </w:r>
      <w:r w:rsidRPr="002F7D5A">
        <w:rPr>
          <w:b/>
          <w:i/>
          <w:sz w:val="24"/>
          <w:szCs w:val="24"/>
        </w:rPr>
        <w:t xml:space="preserve"> działalnością</w:t>
      </w:r>
      <w:r w:rsidR="006F35FC" w:rsidRPr="002F7D5A">
        <w:rPr>
          <w:b/>
          <w:i/>
          <w:sz w:val="24"/>
          <w:szCs w:val="24"/>
        </w:rPr>
        <w:t xml:space="preserve"> biznesu</w:t>
      </w:r>
    </w:p>
    <w:p w:rsidR="003953CF" w:rsidRPr="002F7D5A" w:rsidRDefault="00023D6E" w:rsidP="00E7396B">
      <w:pPr>
        <w:pStyle w:val="Akapitzlist"/>
        <w:numPr>
          <w:ilvl w:val="0"/>
          <w:numId w:val="5"/>
        </w:numPr>
        <w:spacing w:before="120" w:after="120" w:line="240" w:lineRule="auto"/>
        <w:contextualSpacing w:val="0"/>
        <w:jc w:val="both"/>
        <w:rPr>
          <w:sz w:val="24"/>
          <w:szCs w:val="24"/>
        </w:rPr>
      </w:pPr>
      <w:r w:rsidRPr="002F7D5A">
        <w:rPr>
          <w:sz w:val="24"/>
          <w:szCs w:val="24"/>
        </w:rPr>
        <w:t>Państwa członkowskie pow</w:t>
      </w:r>
      <w:r w:rsidR="00300C7D" w:rsidRPr="002F7D5A">
        <w:rPr>
          <w:sz w:val="24"/>
          <w:szCs w:val="24"/>
        </w:rPr>
        <w:t>inny rozważyć zastosowanie takich środków ustawodawczych i innych</w:t>
      </w:r>
      <w:r w:rsidRPr="002F7D5A">
        <w:rPr>
          <w:sz w:val="24"/>
          <w:szCs w:val="24"/>
        </w:rPr>
        <w:t>, jakie mogą być konieczne do zapewnienia</w:t>
      </w:r>
      <w:r w:rsidR="00A3378A" w:rsidRPr="002F7D5A">
        <w:rPr>
          <w:sz w:val="24"/>
          <w:szCs w:val="24"/>
        </w:rPr>
        <w:t xml:space="preserve"> możliwości pociągnięcia</w:t>
      </w:r>
      <w:r w:rsidRPr="002F7D5A">
        <w:rPr>
          <w:sz w:val="24"/>
          <w:szCs w:val="24"/>
        </w:rPr>
        <w:t xml:space="preserve"> przedsiębiorstwa</w:t>
      </w:r>
      <w:r w:rsidR="00300C7D" w:rsidRPr="002F7D5A">
        <w:rPr>
          <w:sz w:val="24"/>
          <w:szCs w:val="24"/>
        </w:rPr>
        <w:t xml:space="preserve"> </w:t>
      </w:r>
      <w:r w:rsidRPr="002F7D5A">
        <w:rPr>
          <w:sz w:val="24"/>
          <w:szCs w:val="24"/>
        </w:rPr>
        <w:t>do odpowiedzialności na podstawie ich prawa</w:t>
      </w:r>
      <w:r w:rsidR="00FC2C6D" w:rsidRPr="002F7D5A">
        <w:rPr>
          <w:sz w:val="24"/>
          <w:szCs w:val="24"/>
        </w:rPr>
        <w:t xml:space="preserve"> karnego</w:t>
      </w:r>
      <w:r w:rsidRPr="002F7D5A">
        <w:rPr>
          <w:sz w:val="24"/>
          <w:szCs w:val="24"/>
        </w:rPr>
        <w:t xml:space="preserve"> </w:t>
      </w:r>
      <w:r w:rsidR="00D476BE" w:rsidRPr="002F7D5A">
        <w:rPr>
          <w:sz w:val="24"/>
          <w:szCs w:val="24"/>
        </w:rPr>
        <w:t>lub innego równorzędnego</w:t>
      </w:r>
      <w:r w:rsidR="00FC2C6D" w:rsidRPr="002F7D5A">
        <w:rPr>
          <w:sz w:val="24"/>
          <w:szCs w:val="24"/>
        </w:rPr>
        <w:t xml:space="preserve"> prawa za popełnienie</w:t>
      </w:r>
      <w:r w:rsidRPr="002F7D5A">
        <w:rPr>
          <w:sz w:val="24"/>
          <w:szCs w:val="24"/>
        </w:rPr>
        <w:t>:</w:t>
      </w:r>
    </w:p>
    <w:p w:rsidR="00023D6E" w:rsidRPr="002F7D5A" w:rsidRDefault="00D476BE" w:rsidP="00E7396B">
      <w:pPr>
        <w:pStyle w:val="Akapitzlist"/>
        <w:numPr>
          <w:ilvl w:val="0"/>
          <w:numId w:val="12"/>
        </w:numPr>
        <w:spacing w:before="120" w:after="120" w:line="240" w:lineRule="auto"/>
        <w:contextualSpacing w:val="0"/>
        <w:jc w:val="both"/>
        <w:rPr>
          <w:sz w:val="24"/>
          <w:szCs w:val="24"/>
        </w:rPr>
      </w:pPr>
      <w:r w:rsidRPr="002F7D5A">
        <w:rPr>
          <w:sz w:val="24"/>
          <w:szCs w:val="24"/>
        </w:rPr>
        <w:lastRenderedPageBreak/>
        <w:t>przestępstw wynikających</w:t>
      </w:r>
      <w:r w:rsidR="00023D6E" w:rsidRPr="002F7D5A">
        <w:rPr>
          <w:sz w:val="24"/>
          <w:szCs w:val="24"/>
        </w:rPr>
        <w:t xml:space="preserve"> z praw</w:t>
      </w:r>
      <w:r w:rsidRPr="002F7D5A">
        <w:rPr>
          <w:sz w:val="24"/>
          <w:szCs w:val="24"/>
        </w:rPr>
        <w:t xml:space="preserve">a międzynarodowego spowodowanych przez </w:t>
      </w:r>
      <w:r w:rsidR="00023D6E" w:rsidRPr="002F7D5A">
        <w:rPr>
          <w:sz w:val="24"/>
          <w:szCs w:val="24"/>
        </w:rPr>
        <w:t>prze</w:t>
      </w:r>
      <w:r w:rsidRPr="002F7D5A">
        <w:rPr>
          <w:sz w:val="24"/>
          <w:szCs w:val="24"/>
        </w:rPr>
        <w:t>dsiębiorstwa;</w:t>
      </w:r>
    </w:p>
    <w:p w:rsidR="00023D6E" w:rsidRPr="002F7D5A" w:rsidRDefault="00A3378A" w:rsidP="00E7396B">
      <w:pPr>
        <w:pStyle w:val="Akapitzlist"/>
        <w:numPr>
          <w:ilvl w:val="0"/>
          <w:numId w:val="12"/>
        </w:numPr>
        <w:spacing w:before="120" w:after="120" w:line="240" w:lineRule="auto"/>
        <w:contextualSpacing w:val="0"/>
        <w:jc w:val="both"/>
        <w:rPr>
          <w:sz w:val="24"/>
          <w:szCs w:val="24"/>
        </w:rPr>
      </w:pPr>
      <w:r w:rsidRPr="002F7D5A">
        <w:rPr>
          <w:sz w:val="24"/>
          <w:szCs w:val="24"/>
        </w:rPr>
        <w:t>przestępstw</w:t>
      </w:r>
      <w:r w:rsidR="00023D6E" w:rsidRPr="002F7D5A">
        <w:rPr>
          <w:sz w:val="24"/>
          <w:szCs w:val="24"/>
        </w:rPr>
        <w:t xml:space="preserve"> okreś</w:t>
      </w:r>
      <w:r w:rsidRPr="002F7D5A">
        <w:rPr>
          <w:sz w:val="24"/>
          <w:szCs w:val="24"/>
        </w:rPr>
        <w:t>lonych</w:t>
      </w:r>
      <w:r w:rsidR="00913AB2" w:rsidRPr="002F7D5A">
        <w:rPr>
          <w:sz w:val="24"/>
          <w:szCs w:val="24"/>
        </w:rPr>
        <w:t xml:space="preserve"> zgodnie z traktatami, takimi</w:t>
      </w:r>
      <w:r w:rsidR="00023D6E" w:rsidRPr="002F7D5A">
        <w:rPr>
          <w:sz w:val="24"/>
          <w:szCs w:val="24"/>
        </w:rPr>
        <w:t xml:space="preserve"> jak </w:t>
      </w:r>
      <w:r w:rsidRPr="002F7D5A">
        <w:rPr>
          <w:sz w:val="24"/>
          <w:szCs w:val="24"/>
        </w:rPr>
        <w:t>P</w:t>
      </w:r>
      <w:r w:rsidR="00913AB2" w:rsidRPr="002F7D5A">
        <w:rPr>
          <w:sz w:val="24"/>
          <w:szCs w:val="24"/>
        </w:rPr>
        <w:t xml:space="preserve">rawnokarna </w:t>
      </w:r>
      <w:r w:rsidR="00023D6E" w:rsidRPr="002F7D5A">
        <w:rPr>
          <w:sz w:val="24"/>
          <w:szCs w:val="24"/>
        </w:rPr>
        <w:t>konwencja o korupcji (ETS nr 173), Konwencja o cyberprzest</w:t>
      </w:r>
      <w:r w:rsidR="00913AB2" w:rsidRPr="002F7D5A">
        <w:rPr>
          <w:sz w:val="24"/>
          <w:szCs w:val="24"/>
        </w:rPr>
        <w:t>ępczości (ETS nr 185), Konwencja</w:t>
      </w:r>
      <w:r w:rsidR="00023D6E" w:rsidRPr="002F7D5A">
        <w:rPr>
          <w:sz w:val="24"/>
          <w:szCs w:val="24"/>
        </w:rPr>
        <w:t xml:space="preserve"> Rady Europy w sprawie działań przeciwko handlowi ludźmi (CETS nr 197), Konwencja Rady Europy o ochronie dzieci przed seksualnym wykorzystywaniem i niegodziwym traktowaniem w celach seks</w:t>
      </w:r>
      <w:r w:rsidRPr="002F7D5A">
        <w:rPr>
          <w:sz w:val="24"/>
          <w:szCs w:val="24"/>
        </w:rPr>
        <w:t>ualnych (CETS nr 201), Konwencja</w:t>
      </w:r>
      <w:r w:rsidR="00023D6E" w:rsidRPr="002F7D5A">
        <w:rPr>
          <w:sz w:val="24"/>
          <w:szCs w:val="24"/>
        </w:rPr>
        <w:t xml:space="preserve"> Rady Europy w sprawie zapobiegania i zwalczania przemocy wobec kobiet i przemocy </w:t>
      </w:r>
      <w:r w:rsidRPr="002F7D5A">
        <w:rPr>
          <w:sz w:val="24"/>
          <w:szCs w:val="24"/>
        </w:rPr>
        <w:t>domowej (CETS nr 210), Konwencja</w:t>
      </w:r>
      <w:r w:rsidR="00023D6E" w:rsidRPr="002F7D5A">
        <w:rPr>
          <w:sz w:val="24"/>
          <w:szCs w:val="24"/>
        </w:rPr>
        <w:t xml:space="preserve"> ONZ przeciwko międzynarodowej przestępczości zorganizowanej z dnia 15 listopada 2000</w:t>
      </w:r>
      <w:r w:rsidR="003F2E26" w:rsidRPr="002F7D5A">
        <w:rPr>
          <w:sz w:val="24"/>
          <w:szCs w:val="24"/>
        </w:rPr>
        <w:t xml:space="preserve"> r.</w:t>
      </w:r>
      <w:r w:rsidR="00023D6E" w:rsidRPr="002F7D5A">
        <w:rPr>
          <w:sz w:val="24"/>
          <w:szCs w:val="24"/>
        </w:rPr>
        <w:t>, oraz Konw</w:t>
      </w:r>
      <w:r w:rsidRPr="002F7D5A">
        <w:rPr>
          <w:sz w:val="24"/>
          <w:szCs w:val="24"/>
        </w:rPr>
        <w:t>encja</w:t>
      </w:r>
      <w:r w:rsidR="00023D6E" w:rsidRPr="002F7D5A">
        <w:rPr>
          <w:sz w:val="24"/>
          <w:szCs w:val="24"/>
        </w:rPr>
        <w:t xml:space="preserve"> ONZ przeciwko korupcji </w:t>
      </w:r>
      <w:r w:rsidR="003F2E26" w:rsidRPr="002F7D5A">
        <w:rPr>
          <w:sz w:val="24"/>
          <w:szCs w:val="24"/>
        </w:rPr>
        <w:t>z dnia 31 października 2003 r.</w:t>
      </w:r>
      <w:r w:rsidR="00023D6E" w:rsidRPr="002F7D5A">
        <w:rPr>
          <w:sz w:val="24"/>
          <w:szCs w:val="24"/>
        </w:rPr>
        <w:t>, a także Protokół fakultatywny do Konwencji o prawach dziecka w sprawie handlu dziećmi, dziecięcej prostytucji i dziecięcej porn</w:t>
      </w:r>
      <w:r w:rsidR="003F2E26" w:rsidRPr="002F7D5A">
        <w:rPr>
          <w:sz w:val="24"/>
          <w:szCs w:val="24"/>
        </w:rPr>
        <w:t>ografii z dnia 25 maja 2000 r.</w:t>
      </w:r>
      <w:r w:rsidR="00023D6E" w:rsidRPr="002F7D5A">
        <w:rPr>
          <w:sz w:val="24"/>
          <w:szCs w:val="24"/>
        </w:rPr>
        <w:t>;</w:t>
      </w:r>
    </w:p>
    <w:p w:rsidR="00023D6E" w:rsidRPr="002F7D5A" w:rsidRDefault="00A3378A" w:rsidP="00E7396B">
      <w:pPr>
        <w:pStyle w:val="Akapitzlist"/>
        <w:numPr>
          <w:ilvl w:val="0"/>
          <w:numId w:val="12"/>
        </w:numPr>
        <w:spacing w:before="120" w:after="120" w:line="240" w:lineRule="auto"/>
        <w:contextualSpacing w:val="0"/>
        <w:jc w:val="both"/>
        <w:rPr>
          <w:sz w:val="24"/>
          <w:szCs w:val="24"/>
        </w:rPr>
      </w:pPr>
      <w:r w:rsidRPr="002F7D5A">
        <w:rPr>
          <w:sz w:val="24"/>
          <w:szCs w:val="24"/>
        </w:rPr>
        <w:t>innych przestępstw stanowiących</w:t>
      </w:r>
      <w:r w:rsidR="00023D6E" w:rsidRPr="002F7D5A">
        <w:rPr>
          <w:sz w:val="24"/>
          <w:szCs w:val="24"/>
        </w:rPr>
        <w:t xml:space="preserve"> poważne naruszenia praw człowi</w:t>
      </w:r>
      <w:r w:rsidR="003F2E26" w:rsidRPr="002F7D5A">
        <w:rPr>
          <w:sz w:val="24"/>
          <w:szCs w:val="24"/>
        </w:rPr>
        <w:t xml:space="preserve">eka </w:t>
      </w:r>
      <w:r w:rsidRPr="002F7D5A">
        <w:rPr>
          <w:sz w:val="24"/>
          <w:szCs w:val="24"/>
        </w:rPr>
        <w:t>związanych</w:t>
      </w:r>
      <w:r w:rsidR="008A71B2" w:rsidRPr="002F7D5A">
        <w:rPr>
          <w:sz w:val="24"/>
          <w:szCs w:val="24"/>
        </w:rPr>
        <w:t xml:space="preserve"> z działalnością</w:t>
      </w:r>
      <w:r w:rsidR="003F2E26" w:rsidRPr="002F7D5A">
        <w:rPr>
          <w:sz w:val="24"/>
          <w:szCs w:val="24"/>
        </w:rPr>
        <w:t xml:space="preserve"> przedsiębiorstw</w:t>
      </w:r>
      <w:r w:rsidR="00023D6E" w:rsidRPr="002F7D5A">
        <w:rPr>
          <w:sz w:val="24"/>
          <w:szCs w:val="24"/>
        </w:rPr>
        <w:t>.</w:t>
      </w:r>
    </w:p>
    <w:p w:rsidR="00023D6E" w:rsidRPr="002F7D5A" w:rsidRDefault="00023D6E" w:rsidP="00E7396B">
      <w:pPr>
        <w:spacing w:before="120" w:after="120" w:line="240" w:lineRule="auto"/>
        <w:ind w:left="993"/>
        <w:jc w:val="both"/>
        <w:rPr>
          <w:sz w:val="24"/>
          <w:szCs w:val="24"/>
        </w:rPr>
      </w:pPr>
      <w:r w:rsidRPr="002F7D5A">
        <w:rPr>
          <w:sz w:val="24"/>
          <w:szCs w:val="24"/>
        </w:rPr>
        <w:t xml:space="preserve">Środki te powinny również zapewnić, że przedsiębiorstwa </w:t>
      </w:r>
      <w:r w:rsidR="008A71B2" w:rsidRPr="002F7D5A">
        <w:rPr>
          <w:sz w:val="24"/>
          <w:szCs w:val="24"/>
        </w:rPr>
        <w:t xml:space="preserve">będą mogły być pociągnięte </w:t>
      </w:r>
      <w:r w:rsidRPr="002F7D5A">
        <w:rPr>
          <w:sz w:val="24"/>
          <w:szCs w:val="24"/>
        </w:rPr>
        <w:t xml:space="preserve">do odpowiedzialności </w:t>
      </w:r>
      <w:r w:rsidR="00A3378A" w:rsidRPr="002F7D5A">
        <w:rPr>
          <w:sz w:val="24"/>
          <w:szCs w:val="24"/>
        </w:rPr>
        <w:t xml:space="preserve">za </w:t>
      </w:r>
      <w:r w:rsidR="006F35FC" w:rsidRPr="002F7D5A">
        <w:rPr>
          <w:sz w:val="24"/>
          <w:szCs w:val="24"/>
        </w:rPr>
        <w:t>współ</w:t>
      </w:r>
      <w:r w:rsidR="00A3378A" w:rsidRPr="002F7D5A">
        <w:rPr>
          <w:sz w:val="24"/>
          <w:szCs w:val="24"/>
        </w:rPr>
        <w:t>udział w popełnieniu powyższych</w:t>
      </w:r>
      <w:r w:rsidRPr="002F7D5A">
        <w:rPr>
          <w:sz w:val="24"/>
          <w:szCs w:val="24"/>
        </w:rPr>
        <w:t xml:space="preserve"> przestępstw.</w:t>
      </w:r>
    </w:p>
    <w:p w:rsidR="00023D6E" w:rsidRPr="002F7D5A" w:rsidRDefault="00023D6E" w:rsidP="00E7396B">
      <w:pPr>
        <w:pStyle w:val="Akapitzlist"/>
        <w:numPr>
          <w:ilvl w:val="0"/>
          <w:numId w:val="5"/>
        </w:numPr>
        <w:spacing w:before="120" w:after="120" w:line="240" w:lineRule="auto"/>
        <w:contextualSpacing w:val="0"/>
        <w:jc w:val="both"/>
        <w:rPr>
          <w:sz w:val="24"/>
          <w:szCs w:val="24"/>
        </w:rPr>
      </w:pPr>
      <w:r w:rsidRPr="002F7D5A">
        <w:rPr>
          <w:sz w:val="24"/>
          <w:szCs w:val="24"/>
        </w:rPr>
        <w:t>Niezależnie od tego, czy przedsiębiorstw</w:t>
      </w:r>
      <w:r w:rsidR="008A71B2" w:rsidRPr="002F7D5A">
        <w:rPr>
          <w:sz w:val="24"/>
          <w:szCs w:val="24"/>
        </w:rPr>
        <w:t>a</w:t>
      </w:r>
      <w:r w:rsidRPr="002F7D5A">
        <w:rPr>
          <w:sz w:val="24"/>
          <w:szCs w:val="24"/>
        </w:rPr>
        <w:t xml:space="preserve"> </w:t>
      </w:r>
      <w:r w:rsidR="008A71B2" w:rsidRPr="002F7D5A">
        <w:rPr>
          <w:sz w:val="24"/>
          <w:szCs w:val="24"/>
        </w:rPr>
        <w:t>mogą być pociągnięte</w:t>
      </w:r>
      <w:r w:rsidRPr="002F7D5A">
        <w:rPr>
          <w:sz w:val="24"/>
          <w:szCs w:val="24"/>
        </w:rPr>
        <w:t xml:space="preserve"> do odpowiedzialności na podstawie</w:t>
      </w:r>
      <w:r w:rsidR="00511D62" w:rsidRPr="002F7D5A">
        <w:rPr>
          <w:sz w:val="24"/>
          <w:szCs w:val="24"/>
        </w:rPr>
        <w:t xml:space="preserve"> </w:t>
      </w:r>
      <w:r w:rsidR="000E420D" w:rsidRPr="002F7D5A">
        <w:rPr>
          <w:sz w:val="24"/>
          <w:szCs w:val="24"/>
        </w:rPr>
        <w:t xml:space="preserve">prawa </w:t>
      </w:r>
      <w:r w:rsidR="00511D62" w:rsidRPr="002F7D5A">
        <w:rPr>
          <w:sz w:val="24"/>
          <w:szCs w:val="24"/>
        </w:rPr>
        <w:t>karnego lub innego równorzędnego</w:t>
      </w:r>
      <w:r w:rsidRPr="002F7D5A">
        <w:rPr>
          <w:sz w:val="24"/>
          <w:szCs w:val="24"/>
        </w:rPr>
        <w:t xml:space="preserve"> prawa, państwa członkowskie pow</w:t>
      </w:r>
      <w:r w:rsidR="00511D62" w:rsidRPr="002F7D5A">
        <w:rPr>
          <w:sz w:val="24"/>
          <w:szCs w:val="24"/>
        </w:rPr>
        <w:t>inny rozważyć zastosowanie takich środków ustawodawczych</w:t>
      </w:r>
      <w:r w:rsidR="00163553" w:rsidRPr="002F7D5A">
        <w:rPr>
          <w:sz w:val="24"/>
          <w:szCs w:val="24"/>
        </w:rPr>
        <w:t xml:space="preserve"> i innych</w:t>
      </w:r>
      <w:r w:rsidRPr="002F7D5A">
        <w:rPr>
          <w:sz w:val="24"/>
          <w:szCs w:val="24"/>
        </w:rPr>
        <w:t xml:space="preserve">, jakie mogą okazać się konieczne w celu zapewnienia, że przedstawiciele przedsiębiorstw </w:t>
      </w:r>
      <w:r w:rsidR="00163553" w:rsidRPr="002F7D5A">
        <w:rPr>
          <w:sz w:val="24"/>
          <w:szCs w:val="24"/>
        </w:rPr>
        <w:t>będą mogli być pociągnięci</w:t>
      </w:r>
      <w:r w:rsidRPr="002F7D5A">
        <w:rPr>
          <w:sz w:val="24"/>
          <w:szCs w:val="24"/>
        </w:rPr>
        <w:t xml:space="preserve"> do odpowie</w:t>
      </w:r>
      <w:r w:rsidR="00AE4B3E" w:rsidRPr="002F7D5A">
        <w:rPr>
          <w:sz w:val="24"/>
          <w:szCs w:val="24"/>
        </w:rPr>
        <w:t>dzialności karnej za popełnie</w:t>
      </w:r>
      <w:r w:rsidR="00163553" w:rsidRPr="002F7D5A">
        <w:rPr>
          <w:sz w:val="24"/>
          <w:szCs w:val="24"/>
        </w:rPr>
        <w:t>n</w:t>
      </w:r>
      <w:r w:rsidR="00AE4B3E" w:rsidRPr="002F7D5A">
        <w:rPr>
          <w:sz w:val="24"/>
          <w:szCs w:val="24"/>
        </w:rPr>
        <w:t>i</w:t>
      </w:r>
      <w:r w:rsidR="00163553" w:rsidRPr="002F7D5A">
        <w:rPr>
          <w:sz w:val="24"/>
          <w:szCs w:val="24"/>
        </w:rPr>
        <w:t>e</w:t>
      </w:r>
      <w:r w:rsidR="00AE4B3E" w:rsidRPr="002F7D5A">
        <w:rPr>
          <w:sz w:val="24"/>
          <w:szCs w:val="24"/>
        </w:rPr>
        <w:t xml:space="preserve"> przestępstw</w:t>
      </w:r>
      <w:r w:rsidRPr="002F7D5A">
        <w:rPr>
          <w:sz w:val="24"/>
          <w:szCs w:val="24"/>
        </w:rPr>
        <w:t xml:space="preserve"> </w:t>
      </w:r>
      <w:r w:rsidR="00AE4B3E" w:rsidRPr="002F7D5A">
        <w:rPr>
          <w:sz w:val="24"/>
          <w:szCs w:val="24"/>
        </w:rPr>
        <w:t>wynikających z</w:t>
      </w:r>
      <w:r w:rsidR="00163553" w:rsidRPr="002F7D5A">
        <w:rPr>
          <w:sz w:val="24"/>
          <w:szCs w:val="24"/>
        </w:rPr>
        <w:t xml:space="preserve"> prawa międzynarodowego</w:t>
      </w:r>
      <w:r w:rsidRPr="002F7D5A">
        <w:rPr>
          <w:sz w:val="24"/>
          <w:szCs w:val="24"/>
        </w:rPr>
        <w:t>, przestępstw okreś</w:t>
      </w:r>
      <w:r w:rsidR="00AE4B3E" w:rsidRPr="002F7D5A">
        <w:rPr>
          <w:sz w:val="24"/>
          <w:szCs w:val="24"/>
        </w:rPr>
        <w:t>lonych</w:t>
      </w:r>
      <w:r w:rsidRPr="002F7D5A">
        <w:rPr>
          <w:sz w:val="24"/>
          <w:szCs w:val="24"/>
        </w:rPr>
        <w:t xml:space="preserve"> </w:t>
      </w:r>
      <w:r w:rsidR="00AE4B3E" w:rsidRPr="002F7D5A">
        <w:rPr>
          <w:sz w:val="24"/>
          <w:szCs w:val="24"/>
        </w:rPr>
        <w:t>w</w:t>
      </w:r>
      <w:r w:rsidRPr="002F7D5A">
        <w:rPr>
          <w:sz w:val="24"/>
          <w:szCs w:val="24"/>
        </w:rPr>
        <w:t xml:space="preserve"> u</w:t>
      </w:r>
      <w:r w:rsidR="00AE4B3E" w:rsidRPr="002F7D5A">
        <w:rPr>
          <w:sz w:val="24"/>
          <w:szCs w:val="24"/>
        </w:rPr>
        <w:t>mowach międzynarodowych i innych</w:t>
      </w:r>
      <w:r w:rsidRPr="002F7D5A">
        <w:rPr>
          <w:sz w:val="24"/>
          <w:szCs w:val="24"/>
        </w:rPr>
        <w:t xml:space="preserve"> przestępstw</w:t>
      </w:r>
      <w:r w:rsidR="00AE4B3E" w:rsidRPr="002F7D5A">
        <w:rPr>
          <w:sz w:val="24"/>
          <w:szCs w:val="24"/>
        </w:rPr>
        <w:t xml:space="preserve"> </w:t>
      </w:r>
      <w:r w:rsidRPr="002F7D5A">
        <w:rPr>
          <w:sz w:val="24"/>
          <w:szCs w:val="24"/>
        </w:rPr>
        <w:t>stanowią</w:t>
      </w:r>
      <w:r w:rsidR="00AE4B3E" w:rsidRPr="002F7D5A">
        <w:rPr>
          <w:sz w:val="24"/>
          <w:szCs w:val="24"/>
        </w:rPr>
        <w:t>cych</w:t>
      </w:r>
      <w:r w:rsidRPr="002F7D5A">
        <w:rPr>
          <w:sz w:val="24"/>
          <w:szCs w:val="24"/>
        </w:rPr>
        <w:t xml:space="preserve"> poważne naruszenia praw człowieka</w:t>
      </w:r>
      <w:r w:rsidR="00AE4B3E" w:rsidRPr="002F7D5A">
        <w:rPr>
          <w:sz w:val="24"/>
          <w:szCs w:val="24"/>
        </w:rPr>
        <w:t xml:space="preserve"> </w:t>
      </w:r>
      <w:r w:rsidR="008708E1" w:rsidRPr="002F7D5A">
        <w:rPr>
          <w:sz w:val="24"/>
          <w:szCs w:val="24"/>
        </w:rPr>
        <w:t>związanych z działalnością przedsiębiorstw</w:t>
      </w:r>
      <w:r w:rsidRPr="002F7D5A">
        <w:rPr>
          <w:sz w:val="24"/>
          <w:szCs w:val="24"/>
        </w:rPr>
        <w:t>.</w:t>
      </w:r>
    </w:p>
    <w:p w:rsidR="00023D6E" w:rsidRPr="002F7D5A" w:rsidRDefault="00AE4B3E" w:rsidP="00E7396B">
      <w:pPr>
        <w:pStyle w:val="Akapitzlist"/>
        <w:numPr>
          <w:ilvl w:val="0"/>
          <w:numId w:val="5"/>
        </w:numPr>
        <w:spacing w:before="120" w:after="120" w:line="240" w:lineRule="auto"/>
        <w:contextualSpacing w:val="0"/>
        <w:jc w:val="both"/>
        <w:rPr>
          <w:sz w:val="24"/>
          <w:szCs w:val="24"/>
        </w:rPr>
      </w:pPr>
      <w:r w:rsidRPr="002F7D5A">
        <w:rPr>
          <w:sz w:val="24"/>
          <w:szCs w:val="24"/>
        </w:rPr>
        <w:t xml:space="preserve">Niezależnie od tego, czy </w:t>
      </w:r>
      <w:r w:rsidR="00682B78">
        <w:rPr>
          <w:sz w:val="24"/>
          <w:szCs w:val="24"/>
        </w:rPr>
        <w:t>postępowanie przygotowawcze</w:t>
      </w:r>
      <w:r w:rsidR="004E1EEC" w:rsidRPr="002F7D5A">
        <w:rPr>
          <w:sz w:val="24"/>
          <w:szCs w:val="24"/>
        </w:rPr>
        <w:t xml:space="preserve"> </w:t>
      </w:r>
      <w:r w:rsidRPr="002F7D5A">
        <w:rPr>
          <w:sz w:val="24"/>
          <w:szCs w:val="24"/>
        </w:rPr>
        <w:t xml:space="preserve">jest </w:t>
      </w:r>
      <w:r w:rsidR="00023D6E" w:rsidRPr="002F7D5A">
        <w:rPr>
          <w:sz w:val="24"/>
          <w:szCs w:val="24"/>
        </w:rPr>
        <w:t>skierowane przeciwko osobom fizycznym</w:t>
      </w:r>
      <w:r w:rsidR="00DE3FAC">
        <w:rPr>
          <w:sz w:val="24"/>
          <w:szCs w:val="24"/>
        </w:rPr>
        <w:t>,</w:t>
      </w:r>
      <w:r w:rsidR="00023D6E" w:rsidRPr="002F7D5A">
        <w:rPr>
          <w:sz w:val="24"/>
          <w:szCs w:val="24"/>
        </w:rPr>
        <w:t xml:space="preserve"> </w:t>
      </w:r>
      <w:r w:rsidR="00DE3FAC">
        <w:rPr>
          <w:sz w:val="24"/>
          <w:szCs w:val="24"/>
        </w:rPr>
        <w:t xml:space="preserve">czy </w:t>
      </w:r>
      <w:r w:rsidR="00023D6E" w:rsidRPr="002F7D5A">
        <w:rPr>
          <w:sz w:val="24"/>
          <w:szCs w:val="24"/>
        </w:rPr>
        <w:t xml:space="preserve">prawnym, </w:t>
      </w:r>
      <w:r w:rsidR="00C62310" w:rsidRPr="002F7D5A">
        <w:rPr>
          <w:sz w:val="24"/>
          <w:szCs w:val="24"/>
        </w:rPr>
        <w:t>musi</w:t>
      </w:r>
      <w:r w:rsidR="00023D6E" w:rsidRPr="002F7D5A">
        <w:rPr>
          <w:sz w:val="24"/>
          <w:szCs w:val="24"/>
        </w:rPr>
        <w:t xml:space="preserve"> </w:t>
      </w:r>
      <w:r w:rsidR="004E1EEC" w:rsidRPr="002F7D5A">
        <w:rPr>
          <w:sz w:val="24"/>
          <w:szCs w:val="24"/>
        </w:rPr>
        <w:t xml:space="preserve">ono </w:t>
      </w:r>
      <w:r w:rsidR="00023D6E" w:rsidRPr="002F7D5A">
        <w:rPr>
          <w:sz w:val="24"/>
          <w:szCs w:val="24"/>
        </w:rPr>
        <w:t xml:space="preserve">spełniać kryteria </w:t>
      </w:r>
      <w:r w:rsidR="00C62310" w:rsidRPr="002F7D5A">
        <w:rPr>
          <w:sz w:val="24"/>
          <w:szCs w:val="24"/>
        </w:rPr>
        <w:t>skuteczności</w:t>
      </w:r>
      <w:r w:rsidR="00023D6E" w:rsidRPr="002F7D5A">
        <w:rPr>
          <w:sz w:val="24"/>
          <w:szCs w:val="24"/>
        </w:rPr>
        <w:t xml:space="preserve"> w </w:t>
      </w:r>
      <w:r w:rsidR="00C62310" w:rsidRPr="002F7D5A">
        <w:rPr>
          <w:sz w:val="24"/>
          <w:szCs w:val="24"/>
        </w:rPr>
        <w:t>świetle</w:t>
      </w:r>
      <w:r w:rsidR="00023D6E" w:rsidRPr="002F7D5A">
        <w:rPr>
          <w:sz w:val="24"/>
          <w:szCs w:val="24"/>
        </w:rPr>
        <w:t xml:space="preserve"> Konwencji </w:t>
      </w:r>
      <w:r w:rsidR="00C62310" w:rsidRPr="002F7D5A">
        <w:rPr>
          <w:sz w:val="24"/>
          <w:szCs w:val="24"/>
        </w:rPr>
        <w:t>o ochronie praw człowieka</w:t>
      </w:r>
      <w:r w:rsidR="00E93BB3" w:rsidRPr="002F7D5A">
        <w:rPr>
          <w:sz w:val="24"/>
          <w:szCs w:val="24"/>
        </w:rPr>
        <w:t xml:space="preserve"> i podstawowych wolności</w:t>
      </w:r>
      <w:r w:rsidR="00C62310" w:rsidRPr="002F7D5A">
        <w:rPr>
          <w:sz w:val="24"/>
          <w:szCs w:val="24"/>
        </w:rPr>
        <w:t xml:space="preserve">, mianowicie musi </w:t>
      </w:r>
      <w:r w:rsidR="00023D6E" w:rsidRPr="002F7D5A">
        <w:rPr>
          <w:sz w:val="24"/>
          <w:szCs w:val="24"/>
        </w:rPr>
        <w:t xml:space="preserve">być adekwatne, </w:t>
      </w:r>
      <w:r w:rsidR="00F07ED1">
        <w:rPr>
          <w:sz w:val="24"/>
          <w:szCs w:val="24"/>
        </w:rPr>
        <w:t>staranne</w:t>
      </w:r>
      <w:r w:rsidR="00023D6E" w:rsidRPr="002F7D5A">
        <w:rPr>
          <w:sz w:val="24"/>
          <w:szCs w:val="24"/>
        </w:rPr>
        <w:t>,</w:t>
      </w:r>
      <w:r w:rsidR="00C62310" w:rsidRPr="002F7D5A">
        <w:rPr>
          <w:sz w:val="24"/>
          <w:szCs w:val="24"/>
        </w:rPr>
        <w:t xml:space="preserve"> obiektywne i niezależne,</w:t>
      </w:r>
      <w:r w:rsidR="005B409E">
        <w:rPr>
          <w:sz w:val="24"/>
          <w:szCs w:val="24"/>
        </w:rPr>
        <w:t xml:space="preserve"> </w:t>
      </w:r>
      <w:r w:rsidR="00F07ED1">
        <w:rPr>
          <w:sz w:val="24"/>
          <w:szCs w:val="24"/>
        </w:rPr>
        <w:t>sprawne</w:t>
      </w:r>
      <w:r w:rsidR="00023D6E" w:rsidRPr="002F7D5A">
        <w:rPr>
          <w:sz w:val="24"/>
          <w:szCs w:val="24"/>
        </w:rPr>
        <w:t xml:space="preserve"> </w:t>
      </w:r>
      <w:r w:rsidR="00C62310" w:rsidRPr="002F7D5A">
        <w:rPr>
          <w:sz w:val="24"/>
          <w:szCs w:val="24"/>
        </w:rPr>
        <w:t>oraz zawierać</w:t>
      </w:r>
      <w:r w:rsidR="00023D6E" w:rsidRPr="002F7D5A">
        <w:rPr>
          <w:sz w:val="24"/>
          <w:szCs w:val="24"/>
        </w:rPr>
        <w:t xml:space="preserve"> element </w:t>
      </w:r>
      <w:r w:rsidR="00C62310" w:rsidRPr="002F7D5A">
        <w:rPr>
          <w:sz w:val="24"/>
          <w:szCs w:val="24"/>
        </w:rPr>
        <w:t xml:space="preserve">publicznej </w:t>
      </w:r>
      <w:r w:rsidR="00023D6E" w:rsidRPr="002F7D5A">
        <w:rPr>
          <w:sz w:val="24"/>
          <w:szCs w:val="24"/>
        </w:rPr>
        <w:t xml:space="preserve">kontroli, w tym </w:t>
      </w:r>
      <w:r w:rsidR="001053FF" w:rsidRPr="002F7D5A">
        <w:rPr>
          <w:sz w:val="24"/>
          <w:szCs w:val="24"/>
        </w:rPr>
        <w:t>aktywny</w:t>
      </w:r>
      <w:r w:rsidR="00DC7F4D" w:rsidRPr="002F7D5A">
        <w:rPr>
          <w:sz w:val="24"/>
          <w:szCs w:val="24"/>
        </w:rPr>
        <w:t xml:space="preserve"> udział pokrzywdzo</w:t>
      </w:r>
      <w:r w:rsidR="00023D6E" w:rsidRPr="002F7D5A">
        <w:rPr>
          <w:sz w:val="24"/>
          <w:szCs w:val="24"/>
        </w:rPr>
        <w:t xml:space="preserve">nych w </w:t>
      </w:r>
      <w:r w:rsidR="00DC7F4D" w:rsidRPr="002F7D5A">
        <w:rPr>
          <w:sz w:val="24"/>
          <w:szCs w:val="24"/>
        </w:rPr>
        <w:t>postępowaniu</w:t>
      </w:r>
      <w:r w:rsidR="00023D6E" w:rsidRPr="002F7D5A">
        <w:rPr>
          <w:sz w:val="24"/>
          <w:szCs w:val="24"/>
        </w:rPr>
        <w:t>. Państwa członkowskie mają obowiązek ścigania</w:t>
      </w:r>
      <w:r w:rsidR="00DC7F4D" w:rsidRPr="002F7D5A">
        <w:rPr>
          <w:sz w:val="24"/>
          <w:szCs w:val="24"/>
        </w:rPr>
        <w:t xml:space="preserve"> sprawców</w:t>
      </w:r>
      <w:r w:rsidR="00023D6E" w:rsidRPr="002F7D5A">
        <w:rPr>
          <w:sz w:val="24"/>
          <w:szCs w:val="24"/>
        </w:rPr>
        <w:t xml:space="preserve">, jeśli jest </w:t>
      </w:r>
      <w:r w:rsidR="00DC7F4D" w:rsidRPr="002F7D5A">
        <w:rPr>
          <w:sz w:val="24"/>
          <w:szCs w:val="24"/>
        </w:rPr>
        <w:t xml:space="preserve">to </w:t>
      </w:r>
      <w:r w:rsidR="004E1EEC" w:rsidRPr="002F7D5A">
        <w:rPr>
          <w:sz w:val="24"/>
          <w:szCs w:val="24"/>
        </w:rPr>
        <w:t>uzasadnione wynikiem</w:t>
      </w:r>
      <w:r w:rsidR="00682B78" w:rsidRPr="00682B78">
        <w:t xml:space="preserve"> </w:t>
      </w:r>
      <w:r w:rsidR="00682B78">
        <w:rPr>
          <w:sz w:val="24"/>
          <w:szCs w:val="24"/>
        </w:rPr>
        <w:t>postępowania przygotowawczego</w:t>
      </w:r>
      <w:r w:rsidR="00023D6E" w:rsidRPr="002F7D5A">
        <w:rPr>
          <w:sz w:val="24"/>
          <w:szCs w:val="24"/>
        </w:rPr>
        <w:t xml:space="preserve">. Biorąc pod uwagę, że </w:t>
      </w:r>
      <w:r w:rsidR="004E1EEC" w:rsidRPr="002F7D5A">
        <w:rPr>
          <w:sz w:val="24"/>
          <w:szCs w:val="24"/>
        </w:rPr>
        <w:t>pokrzywdzeni</w:t>
      </w:r>
      <w:r w:rsidR="00023D6E" w:rsidRPr="002F7D5A">
        <w:rPr>
          <w:sz w:val="24"/>
          <w:szCs w:val="24"/>
        </w:rPr>
        <w:t xml:space="preserve"> mają prawo </w:t>
      </w:r>
      <w:r w:rsidR="00DC7F4D" w:rsidRPr="002F7D5A">
        <w:rPr>
          <w:sz w:val="24"/>
          <w:szCs w:val="24"/>
        </w:rPr>
        <w:t>domagać się</w:t>
      </w:r>
      <w:r w:rsidR="00023D6E" w:rsidRPr="002F7D5A">
        <w:rPr>
          <w:sz w:val="24"/>
          <w:szCs w:val="24"/>
        </w:rPr>
        <w:t xml:space="preserve"> skutecznego </w:t>
      </w:r>
      <w:r w:rsidR="004E1EEC" w:rsidRPr="002F7D5A">
        <w:rPr>
          <w:sz w:val="24"/>
          <w:szCs w:val="24"/>
        </w:rPr>
        <w:t>urzędowego</w:t>
      </w:r>
      <w:r w:rsidR="00023D6E" w:rsidRPr="002F7D5A">
        <w:rPr>
          <w:sz w:val="24"/>
          <w:szCs w:val="24"/>
        </w:rPr>
        <w:t xml:space="preserve"> </w:t>
      </w:r>
      <w:r w:rsidR="00682B78">
        <w:rPr>
          <w:sz w:val="24"/>
          <w:szCs w:val="24"/>
        </w:rPr>
        <w:t>postępowania przygotowawczego</w:t>
      </w:r>
      <w:r w:rsidR="00DC7F4D" w:rsidRPr="002F7D5A">
        <w:rPr>
          <w:sz w:val="24"/>
          <w:szCs w:val="24"/>
        </w:rPr>
        <w:t xml:space="preserve">, każda decyzja o odmowie wszczęcia </w:t>
      </w:r>
      <w:r w:rsidR="00682B78" w:rsidRPr="00682B78">
        <w:rPr>
          <w:sz w:val="24"/>
          <w:szCs w:val="24"/>
        </w:rPr>
        <w:t>postępowania przygotowawczego</w:t>
      </w:r>
      <w:r w:rsidR="004E1EEC" w:rsidRPr="002F7D5A">
        <w:rPr>
          <w:sz w:val="24"/>
          <w:szCs w:val="24"/>
        </w:rPr>
        <w:t>,</w:t>
      </w:r>
      <w:r w:rsidR="00023D6E" w:rsidRPr="002F7D5A">
        <w:rPr>
          <w:sz w:val="24"/>
          <w:szCs w:val="24"/>
        </w:rPr>
        <w:t xml:space="preserve"> lub</w:t>
      </w:r>
      <w:r w:rsidR="00DC7F4D" w:rsidRPr="002F7D5A">
        <w:rPr>
          <w:sz w:val="24"/>
          <w:szCs w:val="24"/>
        </w:rPr>
        <w:t xml:space="preserve"> o</w:t>
      </w:r>
      <w:r w:rsidR="004E1EEC" w:rsidRPr="002F7D5A">
        <w:rPr>
          <w:sz w:val="24"/>
          <w:szCs w:val="24"/>
        </w:rPr>
        <w:t xml:space="preserve"> zawieszeniu postępowania albo</w:t>
      </w:r>
      <w:r w:rsidR="00DC7F4D" w:rsidRPr="002F7D5A">
        <w:rPr>
          <w:sz w:val="24"/>
          <w:szCs w:val="24"/>
        </w:rPr>
        <w:t xml:space="preserve"> ścigania</w:t>
      </w:r>
      <w:r w:rsidR="00023D6E" w:rsidRPr="002F7D5A">
        <w:rPr>
          <w:sz w:val="24"/>
          <w:szCs w:val="24"/>
        </w:rPr>
        <w:t xml:space="preserve">, musi być </w:t>
      </w:r>
      <w:r w:rsidR="00975359">
        <w:rPr>
          <w:sz w:val="24"/>
          <w:szCs w:val="24"/>
        </w:rPr>
        <w:t xml:space="preserve">wystarczająco </w:t>
      </w:r>
      <w:r w:rsidR="00023D6E" w:rsidRPr="002F7D5A">
        <w:rPr>
          <w:sz w:val="24"/>
          <w:szCs w:val="24"/>
        </w:rPr>
        <w:t>uzasadniona.</w:t>
      </w:r>
    </w:p>
    <w:p w:rsidR="004E1EEC" w:rsidRPr="002F7D5A" w:rsidRDefault="004E1EEC" w:rsidP="00E7396B">
      <w:pPr>
        <w:pStyle w:val="Akapitzlist"/>
        <w:spacing w:before="120" w:after="120" w:line="240" w:lineRule="auto"/>
        <w:ind w:left="927"/>
        <w:contextualSpacing w:val="0"/>
        <w:jc w:val="both"/>
        <w:rPr>
          <w:sz w:val="24"/>
          <w:szCs w:val="24"/>
        </w:rPr>
      </w:pPr>
    </w:p>
    <w:p w:rsidR="00023D6E" w:rsidRPr="002F7D5A" w:rsidRDefault="00023D6E" w:rsidP="00E7396B">
      <w:pPr>
        <w:pStyle w:val="Akapitzlist"/>
        <w:numPr>
          <w:ilvl w:val="0"/>
          <w:numId w:val="11"/>
        </w:numPr>
        <w:spacing w:before="120" w:after="120" w:line="240" w:lineRule="auto"/>
        <w:contextualSpacing w:val="0"/>
        <w:jc w:val="both"/>
        <w:rPr>
          <w:b/>
          <w:i/>
          <w:sz w:val="24"/>
          <w:szCs w:val="24"/>
        </w:rPr>
      </w:pPr>
      <w:r w:rsidRPr="002F7D5A">
        <w:rPr>
          <w:b/>
          <w:i/>
          <w:sz w:val="24"/>
          <w:szCs w:val="24"/>
        </w:rPr>
        <w:t>Środki administracyjne</w:t>
      </w:r>
    </w:p>
    <w:p w:rsidR="00023D6E" w:rsidRPr="002F7D5A" w:rsidRDefault="00900531" w:rsidP="00E7396B">
      <w:pPr>
        <w:pStyle w:val="Akapitzlist"/>
        <w:numPr>
          <w:ilvl w:val="0"/>
          <w:numId w:val="5"/>
        </w:numPr>
        <w:spacing w:before="120" w:after="120" w:line="240" w:lineRule="auto"/>
        <w:contextualSpacing w:val="0"/>
        <w:jc w:val="both"/>
        <w:rPr>
          <w:sz w:val="24"/>
          <w:szCs w:val="24"/>
        </w:rPr>
      </w:pPr>
      <w:r w:rsidRPr="002F7D5A">
        <w:rPr>
          <w:sz w:val="24"/>
          <w:szCs w:val="24"/>
        </w:rPr>
        <w:t xml:space="preserve">Państwa członkowskie powinny stosować takie środki ustawodawcze i inne, jakie mogą okazać się </w:t>
      </w:r>
      <w:r w:rsidR="00975359">
        <w:rPr>
          <w:sz w:val="24"/>
          <w:szCs w:val="24"/>
        </w:rPr>
        <w:t>niezbędne</w:t>
      </w:r>
      <w:r w:rsidR="00975359" w:rsidRPr="002F7D5A">
        <w:rPr>
          <w:sz w:val="24"/>
          <w:szCs w:val="24"/>
        </w:rPr>
        <w:t xml:space="preserve"> </w:t>
      </w:r>
      <w:r w:rsidRPr="002F7D5A">
        <w:rPr>
          <w:sz w:val="24"/>
          <w:szCs w:val="24"/>
        </w:rPr>
        <w:t>w celu za</w:t>
      </w:r>
      <w:r w:rsidR="00DC7F4D" w:rsidRPr="002F7D5A">
        <w:rPr>
          <w:sz w:val="24"/>
          <w:szCs w:val="24"/>
        </w:rPr>
        <w:t>gwarantowania</w:t>
      </w:r>
      <w:r w:rsidRPr="002F7D5A">
        <w:rPr>
          <w:sz w:val="24"/>
          <w:szCs w:val="24"/>
        </w:rPr>
        <w:t>, że</w:t>
      </w:r>
      <w:r w:rsidR="00221193" w:rsidRPr="002F7D5A">
        <w:rPr>
          <w:sz w:val="24"/>
          <w:szCs w:val="24"/>
        </w:rPr>
        <w:t xml:space="preserve"> decyzje</w:t>
      </w:r>
      <w:r w:rsidRPr="002F7D5A">
        <w:rPr>
          <w:sz w:val="24"/>
          <w:szCs w:val="24"/>
        </w:rPr>
        <w:t xml:space="preserve"> właściwych organów</w:t>
      </w:r>
      <w:r w:rsidR="00DC7F4D" w:rsidRPr="002F7D5A">
        <w:rPr>
          <w:sz w:val="24"/>
          <w:szCs w:val="24"/>
        </w:rPr>
        <w:t xml:space="preserve"> udzielają</w:t>
      </w:r>
      <w:r w:rsidR="005A044E" w:rsidRPr="002F7D5A">
        <w:rPr>
          <w:sz w:val="24"/>
          <w:szCs w:val="24"/>
        </w:rPr>
        <w:t>cych</w:t>
      </w:r>
      <w:r w:rsidR="00DC7F4D" w:rsidRPr="002F7D5A">
        <w:rPr>
          <w:sz w:val="24"/>
          <w:szCs w:val="24"/>
        </w:rPr>
        <w:t xml:space="preserve"> wsparcia, </w:t>
      </w:r>
      <w:r w:rsidR="004E1EEC" w:rsidRPr="002F7D5A">
        <w:rPr>
          <w:sz w:val="24"/>
          <w:szCs w:val="24"/>
        </w:rPr>
        <w:t>świadczą</w:t>
      </w:r>
      <w:r w:rsidR="005A044E" w:rsidRPr="002F7D5A">
        <w:rPr>
          <w:sz w:val="24"/>
          <w:szCs w:val="24"/>
        </w:rPr>
        <w:t>cych</w:t>
      </w:r>
      <w:r w:rsidR="004E1EEC" w:rsidRPr="002F7D5A">
        <w:rPr>
          <w:sz w:val="24"/>
          <w:szCs w:val="24"/>
        </w:rPr>
        <w:t xml:space="preserve"> </w:t>
      </w:r>
      <w:r w:rsidR="00221193" w:rsidRPr="002F7D5A">
        <w:rPr>
          <w:sz w:val="24"/>
          <w:szCs w:val="24"/>
        </w:rPr>
        <w:t>usług</w:t>
      </w:r>
      <w:r w:rsidR="004E1EEC" w:rsidRPr="002F7D5A">
        <w:rPr>
          <w:sz w:val="24"/>
          <w:szCs w:val="24"/>
        </w:rPr>
        <w:t>i</w:t>
      </w:r>
      <w:r w:rsidR="00221193" w:rsidRPr="002F7D5A">
        <w:rPr>
          <w:sz w:val="24"/>
          <w:szCs w:val="24"/>
        </w:rPr>
        <w:t xml:space="preserve"> lub </w:t>
      </w:r>
      <w:r w:rsidR="00635937">
        <w:rPr>
          <w:sz w:val="24"/>
          <w:szCs w:val="24"/>
        </w:rPr>
        <w:t>przyznają</w:t>
      </w:r>
      <w:r w:rsidR="005A044E" w:rsidRPr="002F7D5A">
        <w:rPr>
          <w:sz w:val="24"/>
          <w:szCs w:val="24"/>
        </w:rPr>
        <w:t>cych</w:t>
      </w:r>
      <w:r w:rsidRPr="002F7D5A">
        <w:rPr>
          <w:sz w:val="24"/>
          <w:szCs w:val="24"/>
        </w:rPr>
        <w:t xml:space="preserve"> </w:t>
      </w:r>
      <w:r w:rsidR="00635937">
        <w:rPr>
          <w:sz w:val="24"/>
          <w:szCs w:val="24"/>
        </w:rPr>
        <w:t xml:space="preserve">zezwolenia na wywóz </w:t>
      </w:r>
      <w:r w:rsidR="00221193" w:rsidRPr="002F7D5A">
        <w:rPr>
          <w:sz w:val="24"/>
          <w:szCs w:val="24"/>
        </w:rPr>
        <w:t>przedsiębiorstwom</w:t>
      </w:r>
      <w:r w:rsidRPr="002F7D5A">
        <w:rPr>
          <w:sz w:val="24"/>
          <w:szCs w:val="24"/>
        </w:rPr>
        <w:t>:</w:t>
      </w:r>
    </w:p>
    <w:p w:rsidR="00900531" w:rsidRPr="002F7D5A" w:rsidRDefault="005D03C7" w:rsidP="00E7396B">
      <w:pPr>
        <w:pStyle w:val="Akapitzlist"/>
        <w:numPr>
          <w:ilvl w:val="0"/>
          <w:numId w:val="13"/>
        </w:numPr>
        <w:spacing w:before="120" w:after="120" w:line="240" w:lineRule="auto"/>
        <w:contextualSpacing w:val="0"/>
        <w:jc w:val="both"/>
        <w:rPr>
          <w:sz w:val="24"/>
          <w:szCs w:val="24"/>
        </w:rPr>
      </w:pPr>
      <w:r>
        <w:rPr>
          <w:sz w:val="24"/>
          <w:szCs w:val="24"/>
        </w:rPr>
        <w:lastRenderedPageBreak/>
        <w:t>uwzględniają</w:t>
      </w:r>
      <w:r w:rsidR="00221193" w:rsidRPr="002F7D5A">
        <w:rPr>
          <w:sz w:val="24"/>
          <w:szCs w:val="24"/>
        </w:rPr>
        <w:t xml:space="preserve"> ryzyko związane z naruszeniami </w:t>
      </w:r>
      <w:r w:rsidR="00900531" w:rsidRPr="002F7D5A">
        <w:rPr>
          <w:sz w:val="24"/>
          <w:szCs w:val="24"/>
        </w:rPr>
        <w:t>praw człowieka, na przykład w oparciu o</w:t>
      </w:r>
      <w:r w:rsidR="00221193" w:rsidRPr="002F7D5A">
        <w:rPr>
          <w:sz w:val="24"/>
          <w:szCs w:val="24"/>
        </w:rPr>
        <w:t xml:space="preserve"> ocenę wpływu na </w:t>
      </w:r>
      <w:r w:rsidR="00900531" w:rsidRPr="002F7D5A">
        <w:rPr>
          <w:sz w:val="24"/>
          <w:szCs w:val="24"/>
        </w:rPr>
        <w:t>prawa</w:t>
      </w:r>
      <w:r w:rsidR="00221193" w:rsidRPr="002F7D5A">
        <w:rPr>
          <w:sz w:val="24"/>
          <w:szCs w:val="24"/>
        </w:rPr>
        <w:t xml:space="preserve"> człowieka</w:t>
      </w:r>
      <w:r w:rsidR="00900531" w:rsidRPr="002F7D5A">
        <w:rPr>
          <w:sz w:val="24"/>
          <w:szCs w:val="24"/>
        </w:rPr>
        <w:t>;</w:t>
      </w:r>
    </w:p>
    <w:p w:rsidR="00900531" w:rsidRPr="002F7D5A" w:rsidRDefault="005A044E" w:rsidP="00E7396B">
      <w:pPr>
        <w:pStyle w:val="Akapitzlist"/>
        <w:numPr>
          <w:ilvl w:val="0"/>
          <w:numId w:val="13"/>
        </w:numPr>
        <w:spacing w:before="120" w:after="120" w:line="240" w:lineRule="auto"/>
        <w:contextualSpacing w:val="0"/>
        <w:jc w:val="both"/>
        <w:rPr>
          <w:sz w:val="24"/>
          <w:szCs w:val="24"/>
        </w:rPr>
      </w:pPr>
      <w:r w:rsidRPr="002F7D5A">
        <w:rPr>
          <w:sz w:val="24"/>
          <w:szCs w:val="24"/>
        </w:rPr>
        <w:t xml:space="preserve">są </w:t>
      </w:r>
      <w:r w:rsidR="00900531" w:rsidRPr="002F7D5A">
        <w:rPr>
          <w:sz w:val="24"/>
          <w:szCs w:val="24"/>
        </w:rPr>
        <w:t>ujawni</w:t>
      </w:r>
      <w:r w:rsidRPr="002F7D5A">
        <w:rPr>
          <w:sz w:val="24"/>
          <w:szCs w:val="24"/>
        </w:rPr>
        <w:t>ane</w:t>
      </w:r>
      <w:r w:rsidR="004A7BD6" w:rsidRPr="002F7D5A">
        <w:rPr>
          <w:sz w:val="24"/>
          <w:szCs w:val="24"/>
        </w:rPr>
        <w:t>, w stosownych przypadkach; oraz</w:t>
      </w:r>
    </w:p>
    <w:p w:rsidR="00900531" w:rsidRPr="002F7D5A" w:rsidRDefault="004A7BD6" w:rsidP="00E7396B">
      <w:pPr>
        <w:pStyle w:val="Akapitzlist"/>
        <w:numPr>
          <w:ilvl w:val="0"/>
          <w:numId w:val="13"/>
        </w:numPr>
        <w:spacing w:before="120" w:after="120" w:line="240" w:lineRule="auto"/>
        <w:contextualSpacing w:val="0"/>
        <w:jc w:val="both"/>
        <w:rPr>
          <w:sz w:val="24"/>
          <w:szCs w:val="24"/>
        </w:rPr>
      </w:pPr>
      <w:r w:rsidRPr="002F7D5A">
        <w:rPr>
          <w:sz w:val="24"/>
          <w:szCs w:val="24"/>
        </w:rPr>
        <w:t>podlegają</w:t>
      </w:r>
      <w:r w:rsidR="00AD1B04" w:rsidRPr="002F7D5A">
        <w:rPr>
          <w:sz w:val="24"/>
          <w:szCs w:val="24"/>
        </w:rPr>
        <w:t xml:space="preserve"> administracyjnej</w:t>
      </w:r>
      <w:r w:rsidR="00900531" w:rsidRPr="002F7D5A">
        <w:rPr>
          <w:sz w:val="24"/>
          <w:szCs w:val="24"/>
        </w:rPr>
        <w:t xml:space="preserve"> lub sądowego</w:t>
      </w:r>
      <w:r w:rsidRPr="002F7D5A">
        <w:rPr>
          <w:sz w:val="24"/>
          <w:szCs w:val="24"/>
        </w:rPr>
        <w:t xml:space="preserve"> kontroli</w:t>
      </w:r>
      <w:r w:rsidR="00900531" w:rsidRPr="002F7D5A">
        <w:rPr>
          <w:sz w:val="24"/>
          <w:szCs w:val="24"/>
        </w:rPr>
        <w:t>.</w:t>
      </w:r>
    </w:p>
    <w:p w:rsidR="00900531" w:rsidRDefault="00900531" w:rsidP="00E7396B">
      <w:pPr>
        <w:pStyle w:val="Akapitzlist"/>
        <w:numPr>
          <w:ilvl w:val="0"/>
          <w:numId w:val="5"/>
        </w:numPr>
        <w:spacing w:before="120" w:after="120" w:line="240" w:lineRule="auto"/>
        <w:contextualSpacing w:val="0"/>
        <w:jc w:val="both"/>
        <w:rPr>
          <w:sz w:val="24"/>
          <w:szCs w:val="24"/>
        </w:rPr>
      </w:pPr>
      <w:r w:rsidRPr="002F7D5A">
        <w:rPr>
          <w:sz w:val="24"/>
          <w:szCs w:val="24"/>
        </w:rPr>
        <w:t xml:space="preserve">Państwa członkowskie powinny przewidzieć odpowiednie środki </w:t>
      </w:r>
      <w:r w:rsidR="00B12E87" w:rsidRPr="002F7D5A">
        <w:rPr>
          <w:sz w:val="24"/>
          <w:szCs w:val="24"/>
        </w:rPr>
        <w:t xml:space="preserve">w celu </w:t>
      </w:r>
      <w:r w:rsidR="00AD1B04" w:rsidRPr="002F7D5A">
        <w:rPr>
          <w:sz w:val="24"/>
          <w:szCs w:val="24"/>
        </w:rPr>
        <w:t>zbadania wiarygodnych zarzutów</w:t>
      </w:r>
      <w:r w:rsidR="004A7BD6" w:rsidRPr="002F7D5A">
        <w:rPr>
          <w:sz w:val="24"/>
          <w:szCs w:val="24"/>
        </w:rPr>
        <w:t xml:space="preserve"> naruszenia </w:t>
      </w:r>
      <w:r w:rsidRPr="002F7D5A">
        <w:rPr>
          <w:sz w:val="24"/>
          <w:szCs w:val="24"/>
        </w:rPr>
        <w:t>praw człowieka w związku z działalnością</w:t>
      </w:r>
      <w:r w:rsidR="00AD1B04" w:rsidRPr="002F7D5A">
        <w:rPr>
          <w:sz w:val="24"/>
          <w:szCs w:val="24"/>
        </w:rPr>
        <w:t xml:space="preserve"> gospodarczą </w:t>
      </w:r>
      <w:r w:rsidR="00B12E87" w:rsidRPr="002F7D5A">
        <w:rPr>
          <w:sz w:val="24"/>
          <w:szCs w:val="24"/>
        </w:rPr>
        <w:t>stanowi</w:t>
      </w:r>
      <w:r w:rsidR="00AD1B04" w:rsidRPr="002F7D5A">
        <w:rPr>
          <w:sz w:val="24"/>
          <w:szCs w:val="24"/>
        </w:rPr>
        <w:t>ącej</w:t>
      </w:r>
      <w:r w:rsidRPr="002F7D5A">
        <w:rPr>
          <w:sz w:val="24"/>
          <w:szCs w:val="24"/>
        </w:rPr>
        <w:t xml:space="preserve"> podsta</w:t>
      </w:r>
      <w:r w:rsidR="00B12E87" w:rsidRPr="002F7D5A">
        <w:rPr>
          <w:sz w:val="24"/>
          <w:szCs w:val="24"/>
        </w:rPr>
        <w:t>wę decyzji, o których mowa w paragrafie</w:t>
      </w:r>
      <w:r w:rsidRPr="002F7D5A">
        <w:rPr>
          <w:sz w:val="24"/>
          <w:szCs w:val="24"/>
        </w:rPr>
        <w:t xml:space="preserve"> 47.</w:t>
      </w:r>
    </w:p>
    <w:p w:rsidR="00B12E87" w:rsidRPr="002F7D5A" w:rsidRDefault="00B12E87" w:rsidP="00E7396B">
      <w:pPr>
        <w:pStyle w:val="Akapitzlist"/>
        <w:spacing w:before="120" w:after="120" w:line="240" w:lineRule="auto"/>
        <w:ind w:left="927"/>
        <w:contextualSpacing w:val="0"/>
        <w:jc w:val="both"/>
        <w:rPr>
          <w:sz w:val="24"/>
          <w:szCs w:val="24"/>
        </w:rPr>
      </w:pPr>
    </w:p>
    <w:p w:rsidR="00900531" w:rsidRPr="002F7D5A" w:rsidRDefault="00481AA3" w:rsidP="00E7396B">
      <w:pPr>
        <w:pStyle w:val="Akapitzlist"/>
        <w:numPr>
          <w:ilvl w:val="0"/>
          <w:numId w:val="10"/>
        </w:numPr>
        <w:spacing w:before="120" w:after="120" w:line="240" w:lineRule="auto"/>
        <w:contextualSpacing w:val="0"/>
        <w:jc w:val="both"/>
        <w:rPr>
          <w:b/>
          <w:sz w:val="24"/>
          <w:szCs w:val="24"/>
        </w:rPr>
      </w:pPr>
      <w:r w:rsidRPr="002F7D5A">
        <w:rPr>
          <w:b/>
          <w:sz w:val="24"/>
          <w:szCs w:val="24"/>
        </w:rPr>
        <w:t>Dostęp do mechanizmów</w:t>
      </w:r>
      <w:r w:rsidR="00505F95" w:rsidRPr="00505F95">
        <w:t xml:space="preserve"> </w:t>
      </w:r>
      <w:r w:rsidR="00505F95" w:rsidRPr="00505F95">
        <w:rPr>
          <w:b/>
          <w:sz w:val="24"/>
          <w:szCs w:val="24"/>
        </w:rPr>
        <w:t>pozasądowych</w:t>
      </w:r>
    </w:p>
    <w:p w:rsidR="00481AA3" w:rsidRPr="002F7D5A" w:rsidRDefault="00481AA3" w:rsidP="00E7396B">
      <w:pPr>
        <w:pStyle w:val="Akapitzlist"/>
        <w:numPr>
          <w:ilvl w:val="0"/>
          <w:numId w:val="5"/>
        </w:numPr>
        <w:spacing w:before="120" w:after="120" w:line="240" w:lineRule="auto"/>
        <w:contextualSpacing w:val="0"/>
        <w:jc w:val="both"/>
        <w:rPr>
          <w:sz w:val="24"/>
          <w:szCs w:val="24"/>
        </w:rPr>
      </w:pPr>
      <w:r w:rsidRPr="002F7D5A">
        <w:rPr>
          <w:sz w:val="24"/>
          <w:szCs w:val="24"/>
        </w:rPr>
        <w:t xml:space="preserve">Państwa członkowskie powinny </w:t>
      </w:r>
      <w:r w:rsidR="00B12E87" w:rsidRPr="002F7D5A">
        <w:rPr>
          <w:sz w:val="24"/>
          <w:szCs w:val="24"/>
        </w:rPr>
        <w:t>wspierać podnoszenie</w:t>
      </w:r>
      <w:r w:rsidRPr="002F7D5A">
        <w:rPr>
          <w:sz w:val="24"/>
          <w:szCs w:val="24"/>
        </w:rPr>
        <w:t xml:space="preserve"> świadomości </w:t>
      </w:r>
      <w:r w:rsidR="00B12E87" w:rsidRPr="002F7D5A">
        <w:rPr>
          <w:sz w:val="24"/>
          <w:szCs w:val="24"/>
        </w:rPr>
        <w:t xml:space="preserve">w zakresie </w:t>
      </w:r>
      <w:r w:rsidRPr="002F7D5A">
        <w:rPr>
          <w:sz w:val="24"/>
          <w:szCs w:val="24"/>
        </w:rPr>
        <w:t>pozasądowych mechanizmów składania skarg</w:t>
      </w:r>
      <w:r w:rsidR="005A044E" w:rsidRPr="002F7D5A">
        <w:rPr>
          <w:sz w:val="24"/>
          <w:szCs w:val="24"/>
        </w:rPr>
        <w:t xml:space="preserve"> oraz ułatwiać dostęp</w:t>
      </w:r>
      <w:r w:rsidR="00B12E87" w:rsidRPr="002F7D5A">
        <w:rPr>
          <w:sz w:val="24"/>
          <w:szCs w:val="24"/>
        </w:rPr>
        <w:t xml:space="preserve"> do nich</w:t>
      </w:r>
      <w:r w:rsidRPr="002F7D5A">
        <w:rPr>
          <w:sz w:val="24"/>
          <w:szCs w:val="24"/>
        </w:rPr>
        <w:t xml:space="preserve">, a także przyczyniać się do wymiany </w:t>
      </w:r>
      <w:r w:rsidR="00B12E87" w:rsidRPr="002F7D5A">
        <w:rPr>
          <w:sz w:val="24"/>
          <w:szCs w:val="24"/>
        </w:rPr>
        <w:t>informacji nt.</w:t>
      </w:r>
      <w:r w:rsidRPr="002F7D5A">
        <w:rPr>
          <w:sz w:val="24"/>
          <w:szCs w:val="24"/>
        </w:rPr>
        <w:t xml:space="preserve"> dostępnych pozasądowych mechanizmów </w:t>
      </w:r>
      <w:r w:rsidR="00F0042A" w:rsidRPr="002F7D5A">
        <w:rPr>
          <w:sz w:val="24"/>
          <w:szCs w:val="24"/>
        </w:rPr>
        <w:t>rozpatrywania</w:t>
      </w:r>
      <w:r w:rsidRPr="002F7D5A">
        <w:rPr>
          <w:sz w:val="24"/>
          <w:szCs w:val="24"/>
        </w:rPr>
        <w:t xml:space="preserve"> skarg.</w:t>
      </w:r>
    </w:p>
    <w:p w:rsidR="00481AA3" w:rsidRPr="002F7D5A" w:rsidRDefault="00481AA3" w:rsidP="00E7396B">
      <w:pPr>
        <w:pStyle w:val="Akapitzlist"/>
        <w:numPr>
          <w:ilvl w:val="0"/>
          <w:numId w:val="5"/>
        </w:numPr>
        <w:spacing w:before="120" w:after="120" w:line="240" w:lineRule="auto"/>
        <w:contextualSpacing w:val="0"/>
        <w:jc w:val="both"/>
        <w:rPr>
          <w:sz w:val="24"/>
          <w:szCs w:val="24"/>
        </w:rPr>
      </w:pPr>
      <w:r w:rsidRPr="002F7D5A">
        <w:rPr>
          <w:sz w:val="24"/>
          <w:szCs w:val="24"/>
        </w:rPr>
        <w:t xml:space="preserve">Państwa członkowskie powinny </w:t>
      </w:r>
      <w:r w:rsidR="00B12E87" w:rsidRPr="002F7D5A">
        <w:rPr>
          <w:sz w:val="24"/>
          <w:szCs w:val="24"/>
        </w:rPr>
        <w:t>zapewnić</w:t>
      </w:r>
      <w:r w:rsidRPr="002F7D5A">
        <w:rPr>
          <w:sz w:val="24"/>
          <w:szCs w:val="24"/>
        </w:rPr>
        <w:t xml:space="preserve"> </w:t>
      </w:r>
      <w:r w:rsidR="00B12E87" w:rsidRPr="002F7D5A">
        <w:rPr>
          <w:sz w:val="24"/>
          <w:szCs w:val="24"/>
        </w:rPr>
        <w:t xml:space="preserve">państwowe </w:t>
      </w:r>
      <w:r w:rsidR="00F0042A" w:rsidRPr="002F7D5A">
        <w:rPr>
          <w:sz w:val="24"/>
          <w:szCs w:val="24"/>
        </w:rPr>
        <w:t>poza</w:t>
      </w:r>
      <w:r w:rsidR="00B12E87" w:rsidRPr="002F7D5A">
        <w:rPr>
          <w:sz w:val="24"/>
          <w:szCs w:val="24"/>
        </w:rPr>
        <w:t xml:space="preserve">sądowe mechanizmy </w:t>
      </w:r>
      <w:r w:rsidR="00F0042A" w:rsidRPr="002F7D5A">
        <w:rPr>
          <w:sz w:val="24"/>
          <w:szCs w:val="24"/>
        </w:rPr>
        <w:t xml:space="preserve">rozpatrywania </w:t>
      </w:r>
      <w:r w:rsidR="00B12E87" w:rsidRPr="002F7D5A">
        <w:rPr>
          <w:sz w:val="24"/>
          <w:szCs w:val="24"/>
        </w:rPr>
        <w:t>skarg</w:t>
      </w:r>
      <w:r w:rsidR="001F325C" w:rsidRPr="002F7D5A">
        <w:rPr>
          <w:sz w:val="24"/>
          <w:szCs w:val="24"/>
        </w:rPr>
        <w:t xml:space="preserve"> spełniające</w:t>
      </w:r>
      <w:r w:rsidRPr="002F7D5A">
        <w:rPr>
          <w:sz w:val="24"/>
          <w:szCs w:val="24"/>
        </w:rPr>
        <w:t xml:space="preserve"> kryteria </w:t>
      </w:r>
      <w:r w:rsidR="00DE3E99">
        <w:rPr>
          <w:sz w:val="24"/>
          <w:szCs w:val="24"/>
        </w:rPr>
        <w:t xml:space="preserve">skuteczności </w:t>
      </w:r>
      <w:r w:rsidRPr="002F7D5A">
        <w:rPr>
          <w:sz w:val="24"/>
          <w:szCs w:val="24"/>
        </w:rPr>
        <w:t xml:space="preserve">wymienione w </w:t>
      </w:r>
      <w:r w:rsidR="00F0042A" w:rsidRPr="002F7D5A">
        <w:rPr>
          <w:sz w:val="24"/>
          <w:szCs w:val="24"/>
        </w:rPr>
        <w:t>Zasadzie</w:t>
      </w:r>
      <w:r w:rsidR="001F325C" w:rsidRPr="002F7D5A">
        <w:rPr>
          <w:sz w:val="24"/>
          <w:szCs w:val="24"/>
        </w:rPr>
        <w:t xml:space="preserve"> 31 W</w:t>
      </w:r>
      <w:r w:rsidRPr="002F7D5A">
        <w:rPr>
          <w:sz w:val="24"/>
          <w:szCs w:val="24"/>
        </w:rPr>
        <w:t xml:space="preserve">ytycznych ONZ dotyczących biznesu i praw człowieka oraz ułatwić </w:t>
      </w:r>
      <w:r w:rsidR="005A044E" w:rsidRPr="002F7D5A">
        <w:rPr>
          <w:sz w:val="24"/>
          <w:szCs w:val="24"/>
        </w:rPr>
        <w:t>wdrażanie</w:t>
      </w:r>
      <w:r w:rsidRPr="002F7D5A">
        <w:rPr>
          <w:sz w:val="24"/>
          <w:szCs w:val="24"/>
        </w:rPr>
        <w:t xml:space="preserve"> ich decyzji. P</w:t>
      </w:r>
      <w:r w:rsidR="0082154A" w:rsidRPr="002F7D5A">
        <w:rPr>
          <w:sz w:val="24"/>
          <w:szCs w:val="24"/>
        </w:rPr>
        <w:t>aństwa p</w:t>
      </w:r>
      <w:r w:rsidRPr="002F7D5A">
        <w:rPr>
          <w:sz w:val="24"/>
          <w:szCs w:val="24"/>
        </w:rPr>
        <w:t xml:space="preserve">owinny zapewnić, że </w:t>
      </w:r>
      <w:r w:rsidR="00BA4547" w:rsidRPr="002F7D5A">
        <w:rPr>
          <w:sz w:val="24"/>
          <w:szCs w:val="24"/>
        </w:rPr>
        <w:t xml:space="preserve">niepaństwowe </w:t>
      </w:r>
      <w:r w:rsidRPr="002F7D5A">
        <w:rPr>
          <w:sz w:val="24"/>
          <w:szCs w:val="24"/>
        </w:rPr>
        <w:t xml:space="preserve">pozasądowe mechanizmy </w:t>
      </w:r>
      <w:r w:rsidR="0082154A" w:rsidRPr="002F7D5A">
        <w:rPr>
          <w:sz w:val="24"/>
          <w:szCs w:val="24"/>
        </w:rPr>
        <w:t>rozpatrywania</w:t>
      </w:r>
      <w:r w:rsidRPr="002F7D5A">
        <w:rPr>
          <w:sz w:val="24"/>
          <w:szCs w:val="24"/>
        </w:rPr>
        <w:t xml:space="preserve"> skarg </w:t>
      </w:r>
      <w:r w:rsidR="00BA4547" w:rsidRPr="002F7D5A">
        <w:rPr>
          <w:sz w:val="24"/>
          <w:szCs w:val="24"/>
        </w:rPr>
        <w:t>również spełniają powyższe</w:t>
      </w:r>
      <w:r w:rsidRPr="002F7D5A">
        <w:rPr>
          <w:sz w:val="24"/>
          <w:szCs w:val="24"/>
        </w:rPr>
        <w:t xml:space="preserve"> kryteria </w:t>
      </w:r>
      <w:r w:rsidR="00BA4547" w:rsidRPr="002F7D5A">
        <w:rPr>
          <w:sz w:val="24"/>
          <w:szCs w:val="24"/>
        </w:rPr>
        <w:t>skuteczności</w:t>
      </w:r>
      <w:r w:rsidRPr="002F7D5A">
        <w:rPr>
          <w:sz w:val="24"/>
          <w:szCs w:val="24"/>
        </w:rPr>
        <w:t>.</w:t>
      </w:r>
    </w:p>
    <w:p w:rsidR="00481AA3" w:rsidRPr="002F7D5A" w:rsidRDefault="00481AA3" w:rsidP="00E7396B">
      <w:pPr>
        <w:pStyle w:val="Akapitzlist"/>
        <w:numPr>
          <w:ilvl w:val="0"/>
          <w:numId w:val="5"/>
        </w:numPr>
        <w:spacing w:before="120" w:after="120" w:line="240" w:lineRule="auto"/>
        <w:contextualSpacing w:val="0"/>
        <w:jc w:val="both"/>
        <w:rPr>
          <w:sz w:val="24"/>
          <w:szCs w:val="24"/>
        </w:rPr>
      </w:pPr>
      <w:r w:rsidRPr="002F7D5A">
        <w:rPr>
          <w:sz w:val="24"/>
          <w:szCs w:val="24"/>
        </w:rPr>
        <w:t>Pańs</w:t>
      </w:r>
      <w:r w:rsidR="003C37A4" w:rsidRPr="002F7D5A">
        <w:rPr>
          <w:sz w:val="24"/>
          <w:szCs w:val="24"/>
        </w:rPr>
        <w:t>twa członkowskie powinny dokon</w:t>
      </w:r>
      <w:r w:rsidRPr="002F7D5A">
        <w:rPr>
          <w:sz w:val="24"/>
          <w:szCs w:val="24"/>
        </w:rPr>
        <w:t xml:space="preserve">ać oceny adekwatności i dostępności </w:t>
      </w:r>
      <w:r w:rsidR="00BA4547" w:rsidRPr="002F7D5A">
        <w:rPr>
          <w:sz w:val="24"/>
          <w:szCs w:val="24"/>
        </w:rPr>
        <w:t xml:space="preserve">państwowych </w:t>
      </w:r>
      <w:r w:rsidRPr="002F7D5A">
        <w:rPr>
          <w:sz w:val="24"/>
          <w:szCs w:val="24"/>
        </w:rPr>
        <w:t xml:space="preserve">mechanizmów pozasądowych, takich jak inspektoraty pracy, </w:t>
      </w:r>
      <w:r w:rsidR="00BA4547" w:rsidRPr="002F7D5A">
        <w:rPr>
          <w:sz w:val="24"/>
          <w:szCs w:val="24"/>
        </w:rPr>
        <w:t>urzędy ochrony konsumentów i agencje ochrony środowiska, krajowe instytucje praw człowieka, instytucje rzecznika praw o</w:t>
      </w:r>
      <w:r w:rsidR="002C57D3" w:rsidRPr="002F7D5A">
        <w:rPr>
          <w:sz w:val="24"/>
          <w:szCs w:val="24"/>
        </w:rPr>
        <w:t>bywatelskich i krajowe organy do spraw</w:t>
      </w:r>
      <w:r w:rsidR="00BA4547" w:rsidRPr="002F7D5A">
        <w:rPr>
          <w:sz w:val="24"/>
          <w:szCs w:val="24"/>
        </w:rPr>
        <w:t xml:space="preserve"> równości</w:t>
      </w:r>
      <w:r w:rsidRPr="002F7D5A">
        <w:rPr>
          <w:sz w:val="24"/>
          <w:szCs w:val="24"/>
        </w:rPr>
        <w:t xml:space="preserve">, </w:t>
      </w:r>
      <w:r w:rsidR="0082154A" w:rsidRPr="002F7D5A">
        <w:rPr>
          <w:sz w:val="24"/>
          <w:szCs w:val="24"/>
        </w:rPr>
        <w:t xml:space="preserve">obok </w:t>
      </w:r>
      <w:r w:rsidRPr="002F7D5A">
        <w:rPr>
          <w:sz w:val="24"/>
          <w:szCs w:val="24"/>
        </w:rPr>
        <w:t>środków</w:t>
      </w:r>
      <w:r w:rsidR="0082154A" w:rsidRPr="002F7D5A">
        <w:rPr>
          <w:sz w:val="24"/>
          <w:szCs w:val="24"/>
        </w:rPr>
        <w:t xml:space="preserve"> </w:t>
      </w:r>
      <w:r w:rsidR="0082154A" w:rsidRPr="00302B98">
        <w:rPr>
          <w:sz w:val="24"/>
          <w:szCs w:val="24"/>
        </w:rPr>
        <w:t>zaradczych</w:t>
      </w:r>
      <w:r w:rsidR="00BA4547" w:rsidRPr="00302B98">
        <w:rPr>
          <w:sz w:val="24"/>
          <w:szCs w:val="24"/>
        </w:rPr>
        <w:t>,</w:t>
      </w:r>
      <w:r w:rsidR="00BA4547" w:rsidRPr="002F7D5A">
        <w:rPr>
          <w:sz w:val="24"/>
          <w:szCs w:val="24"/>
        </w:rPr>
        <w:t xml:space="preserve"> które mogą zapewnić. Może to o</w:t>
      </w:r>
      <w:r w:rsidR="007E2920" w:rsidRPr="002F7D5A">
        <w:rPr>
          <w:sz w:val="24"/>
          <w:szCs w:val="24"/>
        </w:rPr>
        <w:t>znaczać</w:t>
      </w:r>
      <w:r w:rsidR="00BA4547" w:rsidRPr="002F7D5A">
        <w:rPr>
          <w:sz w:val="24"/>
          <w:szCs w:val="24"/>
        </w:rPr>
        <w:t xml:space="preserve"> </w:t>
      </w:r>
      <w:r w:rsidR="00302B98">
        <w:rPr>
          <w:sz w:val="24"/>
          <w:szCs w:val="24"/>
        </w:rPr>
        <w:t xml:space="preserve">rozszerzenie </w:t>
      </w:r>
      <w:r w:rsidRPr="002F7D5A">
        <w:rPr>
          <w:sz w:val="24"/>
          <w:szCs w:val="24"/>
        </w:rPr>
        <w:t>mandatu istniejących</w:t>
      </w:r>
      <w:r w:rsidR="00BA4547" w:rsidRPr="002F7D5A">
        <w:rPr>
          <w:sz w:val="24"/>
          <w:szCs w:val="24"/>
        </w:rPr>
        <w:t xml:space="preserve"> państwowych</w:t>
      </w:r>
      <w:r w:rsidR="007E2920" w:rsidRPr="002F7D5A">
        <w:rPr>
          <w:sz w:val="24"/>
          <w:szCs w:val="24"/>
        </w:rPr>
        <w:t xml:space="preserve"> organów pozasądowych</w:t>
      </w:r>
      <w:r w:rsidRPr="002F7D5A">
        <w:rPr>
          <w:sz w:val="24"/>
          <w:szCs w:val="24"/>
        </w:rPr>
        <w:t xml:space="preserve"> lu</w:t>
      </w:r>
      <w:r w:rsidR="00BA4547" w:rsidRPr="002F7D5A">
        <w:rPr>
          <w:sz w:val="24"/>
          <w:szCs w:val="24"/>
        </w:rPr>
        <w:t>b tworzenie nowych z możliwością</w:t>
      </w:r>
      <w:r w:rsidRPr="002F7D5A">
        <w:rPr>
          <w:sz w:val="24"/>
          <w:szCs w:val="24"/>
        </w:rPr>
        <w:t xml:space="preserve"> przyjmowania i rozstrzygania skarg </w:t>
      </w:r>
      <w:r w:rsidR="007E2920" w:rsidRPr="002F7D5A">
        <w:rPr>
          <w:sz w:val="24"/>
          <w:szCs w:val="24"/>
        </w:rPr>
        <w:t>dotyczących naruszeń</w:t>
      </w:r>
      <w:r w:rsidRPr="002F7D5A">
        <w:rPr>
          <w:sz w:val="24"/>
          <w:szCs w:val="24"/>
        </w:rPr>
        <w:t xml:space="preserve"> praw człowieka</w:t>
      </w:r>
      <w:r w:rsidR="00BA4547" w:rsidRPr="002F7D5A">
        <w:rPr>
          <w:sz w:val="24"/>
          <w:szCs w:val="24"/>
        </w:rPr>
        <w:t xml:space="preserve"> związanych z </w:t>
      </w:r>
      <w:r w:rsidR="007E2920" w:rsidRPr="002F7D5A">
        <w:rPr>
          <w:sz w:val="24"/>
          <w:szCs w:val="24"/>
        </w:rPr>
        <w:t>działalnością biznesową</w:t>
      </w:r>
      <w:r w:rsidRPr="002F7D5A">
        <w:rPr>
          <w:sz w:val="24"/>
          <w:szCs w:val="24"/>
        </w:rPr>
        <w:t xml:space="preserve"> i</w:t>
      </w:r>
      <w:r w:rsidR="007E2920" w:rsidRPr="002F7D5A">
        <w:rPr>
          <w:sz w:val="24"/>
          <w:szCs w:val="24"/>
        </w:rPr>
        <w:t xml:space="preserve"> </w:t>
      </w:r>
      <w:r w:rsidR="00A153FC" w:rsidRPr="002F7D5A">
        <w:rPr>
          <w:sz w:val="24"/>
          <w:szCs w:val="24"/>
        </w:rPr>
        <w:t>przyznawania</w:t>
      </w:r>
      <w:r w:rsidR="007E2920" w:rsidRPr="002F7D5A">
        <w:rPr>
          <w:sz w:val="24"/>
          <w:szCs w:val="24"/>
        </w:rPr>
        <w:t xml:space="preserve"> </w:t>
      </w:r>
      <w:r w:rsidR="00DE3E99">
        <w:rPr>
          <w:sz w:val="24"/>
          <w:szCs w:val="24"/>
        </w:rPr>
        <w:t xml:space="preserve">odszkodowania </w:t>
      </w:r>
      <w:r w:rsidR="00A153FC" w:rsidRPr="002F7D5A">
        <w:rPr>
          <w:sz w:val="24"/>
          <w:szCs w:val="24"/>
        </w:rPr>
        <w:t>pokrzywdzonym</w:t>
      </w:r>
      <w:r w:rsidR="007E2920" w:rsidRPr="002F7D5A">
        <w:rPr>
          <w:sz w:val="24"/>
          <w:szCs w:val="24"/>
        </w:rPr>
        <w:t>.</w:t>
      </w:r>
    </w:p>
    <w:p w:rsidR="00481AA3" w:rsidRPr="002F7D5A" w:rsidRDefault="00481AA3" w:rsidP="00E7396B">
      <w:pPr>
        <w:pStyle w:val="Akapitzlist"/>
        <w:numPr>
          <w:ilvl w:val="0"/>
          <w:numId w:val="5"/>
        </w:numPr>
        <w:spacing w:before="120" w:after="120" w:line="240" w:lineRule="auto"/>
        <w:contextualSpacing w:val="0"/>
        <w:jc w:val="both"/>
        <w:rPr>
          <w:sz w:val="24"/>
          <w:szCs w:val="24"/>
        </w:rPr>
      </w:pPr>
      <w:r w:rsidRPr="002F7D5A">
        <w:rPr>
          <w:sz w:val="24"/>
          <w:szCs w:val="24"/>
        </w:rPr>
        <w:t xml:space="preserve">Państwa członkowskie, które jeszcze tego nie </w:t>
      </w:r>
      <w:r w:rsidR="00DE3E99">
        <w:rPr>
          <w:sz w:val="24"/>
          <w:szCs w:val="24"/>
        </w:rPr>
        <w:t>uczyniły</w:t>
      </w:r>
      <w:r w:rsidRPr="002F7D5A">
        <w:rPr>
          <w:sz w:val="24"/>
          <w:szCs w:val="24"/>
        </w:rPr>
        <w:t xml:space="preserve">, powinny podjąć kroki w celu </w:t>
      </w:r>
      <w:r w:rsidR="00A153FC" w:rsidRPr="002F7D5A">
        <w:rPr>
          <w:sz w:val="24"/>
          <w:szCs w:val="24"/>
        </w:rPr>
        <w:t>przystąpienia i/</w:t>
      </w:r>
      <w:r w:rsidR="001A7B3F" w:rsidRPr="002F7D5A">
        <w:rPr>
          <w:sz w:val="24"/>
          <w:szCs w:val="24"/>
        </w:rPr>
        <w:t>lub wdrożenia Wytycznych</w:t>
      </w:r>
      <w:r w:rsidRPr="002F7D5A">
        <w:rPr>
          <w:sz w:val="24"/>
          <w:szCs w:val="24"/>
        </w:rPr>
        <w:t xml:space="preserve"> OECD dla przedsiębiorstw wielonarodowych. P</w:t>
      </w:r>
      <w:r w:rsidR="00A153FC" w:rsidRPr="002F7D5A">
        <w:rPr>
          <w:sz w:val="24"/>
          <w:szCs w:val="24"/>
        </w:rPr>
        <w:t>aństwa p</w:t>
      </w:r>
      <w:r w:rsidRPr="002F7D5A">
        <w:rPr>
          <w:sz w:val="24"/>
          <w:szCs w:val="24"/>
        </w:rPr>
        <w:t>owinny wspierać skuteczną realizację Trójstronnej deklaracji zasad dotyczących przedsiębiorstw wielonarodowych i polityki społecznej Międzynarodowej Organizacji Pracy (MOP</w:t>
      </w:r>
      <w:r w:rsidR="00912776" w:rsidRPr="002F7D5A">
        <w:rPr>
          <w:sz w:val="24"/>
          <w:szCs w:val="24"/>
        </w:rPr>
        <w:t>).</w:t>
      </w:r>
    </w:p>
    <w:p w:rsidR="00481AA3" w:rsidRPr="002F7D5A" w:rsidRDefault="000029CF" w:rsidP="00E7396B">
      <w:pPr>
        <w:pStyle w:val="Akapitzlist"/>
        <w:numPr>
          <w:ilvl w:val="0"/>
          <w:numId w:val="5"/>
        </w:numPr>
        <w:spacing w:before="120" w:after="120" w:line="240" w:lineRule="auto"/>
        <w:contextualSpacing w:val="0"/>
        <w:jc w:val="both"/>
        <w:rPr>
          <w:sz w:val="24"/>
          <w:szCs w:val="24"/>
        </w:rPr>
      </w:pPr>
      <w:r w:rsidRPr="002F7D5A">
        <w:rPr>
          <w:sz w:val="24"/>
          <w:szCs w:val="24"/>
        </w:rPr>
        <w:t>Państwa członkowskie, które w</w:t>
      </w:r>
      <w:r w:rsidR="0012069A" w:rsidRPr="002F7D5A">
        <w:rPr>
          <w:sz w:val="24"/>
          <w:szCs w:val="24"/>
        </w:rPr>
        <w:t>drożyły</w:t>
      </w:r>
      <w:r w:rsidR="00A153FC" w:rsidRPr="002F7D5A">
        <w:rPr>
          <w:sz w:val="24"/>
          <w:szCs w:val="24"/>
        </w:rPr>
        <w:t xml:space="preserve"> Wytyczne OECD powinny</w:t>
      </w:r>
      <w:r w:rsidRPr="002F7D5A">
        <w:rPr>
          <w:sz w:val="24"/>
          <w:szCs w:val="24"/>
        </w:rPr>
        <w:t xml:space="preserve"> </w:t>
      </w:r>
      <w:r w:rsidR="002B434C" w:rsidRPr="002F7D5A">
        <w:rPr>
          <w:sz w:val="24"/>
          <w:szCs w:val="24"/>
        </w:rPr>
        <w:t>zapewnić skuteczność ich Krajowych Punktów Kontaktowych</w:t>
      </w:r>
      <w:r w:rsidRPr="002F7D5A">
        <w:rPr>
          <w:sz w:val="24"/>
          <w:szCs w:val="24"/>
        </w:rPr>
        <w:t xml:space="preserve"> (KPK)</w:t>
      </w:r>
      <w:r w:rsidR="002B434C" w:rsidRPr="002F7D5A">
        <w:rPr>
          <w:sz w:val="24"/>
          <w:szCs w:val="24"/>
        </w:rPr>
        <w:t xml:space="preserve"> ustanowiony</w:t>
      </w:r>
      <w:r w:rsidR="00E6765E">
        <w:rPr>
          <w:sz w:val="24"/>
          <w:szCs w:val="24"/>
        </w:rPr>
        <w:t>ch</w:t>
      </w:r>
      <w:r w:rsidR="002B434C" w:rsidRPr="002F7D5A">
        <w:rPr>
          <w:sz w:val="24"/>
          <w:szCs w:val="24"/>
        </w:rPr>
        <w:t xml:space="preserve"> na mocy powyższych</w:t>
      </w:r>
      <w:r w:rsidR="00A153FC" w:rsidRPr="002F7D5A">
        <w:rPr>
          <w:sz w:val="24"/>
          <w:szCs w:val="24"/>
        </w:rPr>
        <w:t xml:space="preserve"> W</w:t>
      </w:r>
      <w:r w:rsidRPr="002F7D5A">
        <w:rPr>
          <w:sz w:val="24"/>
          <w:szCs w:val="24"/>
        </w:rPr>
        <w:t xml:space="preserve">ytycznych, w szczególności </w:t>
      </w:r>
      <w:r w:rsidR="00C9116F" w:rsidRPr="002F7D5A">
        <w:rPr>
          <w:sz w:val="24"/>
          <w:szCs w:val="24"/>
        </w:rPr>
        <w:t>zapewniając im środki finansowe i personel</w:t>
      </w:r>
      <w:r w:rsidRPr="002F7D5A">
        <w:rPr>
          <w:sz w:val="24"/>
          <w:szCs w:val="24"/>
        </w:rPr>
        <w:t xml:space="preserve">, </w:t>
      </w:r>
      <w:r w:rsidR="00477037" w:rsidRPr="002F7D5A">
        <w:rPr>
          <w:sz w:val="24"/>
          <w:szCs w:val="24"/>
        </w:rPr>
        <w:t>tak, aby</w:t>
      </w:r>
      <w:r w:rsidR="00D1030D" w:rsidRPr="002F7D5A">
        <w:rPr>
          <w:sz w:val="24"/>
          <w:szCs w:val="24"/>
        </w:rPr>
        <w:t xml:space="preserve"> mogły one wykonywać</w:t>
      </w:r>
      <w:r w:rsidR="002B434C" w:rsidRPr="002F7D5A">
        <w:rPr>
          <w:sz w:val="24"/>
          <w:szCs w:val="24"/>
        </w:rPr>
        <w:t xml:space="preserve"> swoje obowiązki; zapewniając</w:t>
      </w:r>
      <w:r w:rsidRPr="002F7D5A">
        <w:rPr>
          <w:sz w:val="24"/>
          <w:szCs w:val="24"/>
        </w:rPr>
        <w:t xml:space="preserve">, że KPK są widoczne, dostępne, </w:t>
      </w:r>
      <w:r w:rsidR="002B434C" w:rsidRPr="002F7D5A">
        <w:rPr>
          <w:sz w:val="24"/>
          <w:szCs w:val="24"/>
        </w:rPr>
        <w:t>transparentne</w:t>
      </w:r>
      <w:r w:rsidRPr="002F7D5A">
        <w:rPr>
          <w:sz w:val="24"/>
          <w:szCs w:val="24"/>
        </w:rPr>
        <w:t>, r</w:t>
      </w:r>
      <w:r w:rsidR="002B434C" w:rsidRPr="002F7D5A">
        <w:rPr>
          <w:sz w:val="24"/>
          <w:szCs w:val="24"/>
        </w:rPr>
        <w:t>zetelne i bezstronne; promując podejście oparte</w:t>
      </w:r>
      <w:r w:rsidRPr="002F7D5A">
        <w:rPr>
          <w:sz w:val="24"/>
          <w:szCs w:val="24"/>
        </w:rPr>
        <w:t xml:space="preserve"> na dialogu; </w:t>
      </w:r>
      <w:r w:rsidR="00E6765E">
        <w:rPr>
          <w:sz w:val="24"/>
          <w:szCs w:val="24"/>
        </w:rPr>
        <w:t>rozważając</w:t>
      </w:r>
      <w:r w:rsidR="002B434C" w:rsidRPr="002F7D5A">
        <w:rPr>
          <w:sz w:val="24"/>
          <w:szCs w:val="24"/>
        </w:rPr>
        <w:t xml:space="preserve"> upublicznienie zaleceń KPK; oraz zapewniając</w:t>
      </w:r>
      <w:r w:rsidRPr="002F7D5A">
        <w:rPr>
          <w:sz w:val="24"/>
          <w:szCs w:val="24"/>
        </w:rPr>
        <w:t xml:space="preserve">, że zalecenia </w:t>
      </w:r>
      <w:r w:rsidR="002B434C" w:rsidRPr="002F7D5A">
        <w:rPr>
          <w:sz w:val="24"/>
          <w:szCs w:val="24"/>
        </w:rPr>
        <w:t xml:space="preserve">KPK </w:t>
      </w:r>
      <w:r w:rsidRPr="002F7D5A">
        <w:rPr>
          <w:sz w:val="24"/>
          <w:szCs w:val="24"/>
        </w:rPr>
        <w:t xml:space="preserve">są brane pod uwagę przez </w:t>
      </w:r>
      <w:r w:rsidR="00D7717E" w:rsidRPr="002F7D5A">
        <w:rPr>
          <w:sz w:val="24"/>
          <w:szCs w:val="24"/>
        </w:rPr>
        <w:t>organy administracji rządowej</w:t>
      </w:r>
      <w:r w:rsidR="002B434C" w:rsidRPr="002F7D5A">
        <w:rPr>
          <w:sz w:val="24"/>
          <w:szCs w:val="24"/>
        </w:rPr>
        <w:t xml:space="preserve"> </w:t>
      </w:r>
      <w:r w:rsidR="00D1030D" w:rsidRPr="002F7D5A">
        <w:rPr>
          <w:sz w:val="24"/>
          <w:szCs w:val="24"/>
        </w:rPr>
        <w:t>podczas</w:t>
      </w:r>
      <w:r w:rsidRPr="002F7D5A">
        <w:rPr>
          <w:sz w:val="24"/>
          <w:szCs w:val="24"/>
        </w:rPr>
        <w:t xml:space="preserve"> </w:t>
      </w:r>
      <w:r w:rsidR="002B434C" w:rsidRPr="002F7D5A">
        <w:rPr>
          <w:sz w:val="24"/>
          <w:szCs w:val="24"/>
        </w:rPr>
        <w:t>podejmowania decyzji</w:t>
      </w:r>
      <w:r w:rsidRPr="002F7D5A">
        <w:rPr>
          <w:sz w:val="24"/>
          <w:szCs w:val="24"/>
        </w:rPr>
        <w:t xml:space="preserve"> w sprawie zamówień publicznych, kredytów eksportowych i gwarancji inwestycyjnych.</w:t>
      </w:r>
    </w:p>
    <w:p w:rsidR="000029CF" w:rsidRPr="002F7D5A" w:rsidRDefault="005E77AD" w:rsidP="00E7396B">
      <w:pPr>
        <w:pStyle w:val="Akapitzlist"/>
        <w:numPr>
          <w:ilvl w:val="0"/>
          <w:numId w:val="5"/>
        </w:numPr>
        <w:spacing w:before="120" w:after="120" w:line="240" w:lineRule="auto"/>
        <w:contextualSpacing w:val="0"/>
        <w:jc w:val="both"/>
        <w:rPr>
          <w:sz w:val="24"/>
          <w:szCs w:val="24"/>
        </w:rPr>
      </w:pPr>
      <w:r w:rsidRPr="002F7D5A">
        <w:rPr>
          <w:sz w:val="24"/>
          <w:szCs w:val="24"/>
        </w:rPr>
        <w:t xml:space="preserve">Państwa członkowskie powinny zachęcać przedsiębiorstwa, o których mowa w paragrafie 20 do stworzenia własnych mechanizmów </w:t>
      </w:r>
      <w:r w:rsidR="00C9116F" w:rsidRPr="002F7D5A">
        <w:rPr>
          <w:sz w:val="24"/>
          <w:szCs w:val="24"/>
        </w:rPr>
        <w:t>rozpatrywania</w:t>
      </w:r>
      <w:r w:rsidRPr="002F7D5A">
        <w:rPr>
          <w:sz w:val="24"/>
          <w:szCs w:val="24"/>
        </w:rPr>
        <w:t xml:space="preserve"> skarg zgodnie z </w:t>
      </w:r>
      <w:r w:rsidRPr="002F7D5A">
        <w:rPr>
          <w:sz w:val="24"/>
          <w:szCs w:val="24"/>
        </w:rPr>
        <w:lastRenderedPageBreak/>
        <w:t xml:space="preserve">kryteriami skuteczności określonymi w </w:t>
      </w:r>
      <w:r w:rsidR="00C9116F" w:rsidRPr="002F7D5A">
        <w:rPr>
          <w:sz w:val="24"/>
          <w:szCs w:val="24"/>
        </w:rPr>
        <w:t>Zasadzie</w:t>
      </w:r>
      <w:r w:rsidRPr="002F7D5A">
        <w:rPr>
          <w:sz w:val="24"/>
          <w:szCs w:val="24"/>
        </w:rPr>
        <w:t xml:space="preserve"> 31 Wytycznych ONZ. </w:t>
      </w:r>
      <w:r w:rsidR="00D7717E" w:rsidRPr="002F7D5A">
        <w:rPr>
          <w:sz w:val="24"/>
          <w:szCs w:val="24"/>
        </w:rPr>
        <w:t>W przypadku ustanowienia</w:t>
      </w:r>
      <w:r w:rsidRPr="002F7D5A">
        <w:rPr>
          <w:sz w:val="24"/>
          <w:szCs w:val="24"/>
        </w:rPr>
        <w:t xml:space="preserve"> </w:t>
      </w:r>
      <w:r w:rsidR="00D7717E" w:rsidRPr="002F7D5A">
        <w:rPr>
          <w:sz w:val="24"/>
          <w:szCs w:val="24"/>
        </w:rPr>
        <w:t>takich mechanizmów</w:t>
      </w:r>
      <w:r w:rsidRPr="002F7D5A">
        <w:rPr>
          <w:sz w:val="24"/>
          <w:szCs w:val="24"/>
        </w:rPr>
        <w:t>, należy upewnić się, że nie są one wykorzystywane w celu utrudniania</w:t>
      </w:r>
      <w:r w:rsidR="00A20520" w:rsidRPr="002F7D5A">
        <w:rPr>
          <w:sz w:val="24"/>
          <w:szCs w:val="24"/>
        </w:rPr>
        <w:t xml:space="preserve"> domniemanej ofierze dostępu</w:t>
      </w:r>
      <w:r w:rsidRPr="002F7D5A">
        <w:rPr>
          <w:sz w:val="24"/>
          <w:szCs w:val="24"/>
        </w:rPr>
        <w:t xml:space="preserve"> do </w:t>
      </w:r>
      <w:r w:rsidR="00D7717E" w:rsidRPr="002F7D5A">
        <w:rPr>
          <w:sz w:val="24"/>
          <w:szCs w:val="24"/>
        </w:rPr>
        <w:t>wymiaru sprawiedliwości</w:t>
      </w:r>
      <w:r w:rsidRPr="002F7D5A">
        <w:rPr>
          <w:sz w:val="24"/>
          <w:szCs w:val="24"/>
        </w:rPr>
        <w:t xml:space="preserve"> lub </w:t>
      </w:r>
      <w:r w:rsidR="00A20520" w:rsidRPr="002F7D5A">
        <w:rPr>
          <w:sz w:val="24"/>
          <w:szCs w:val="24"/>
        </w:rPr>
        <w:t xml:space="preserve">państwowych </w:t>
      </w:r>
      <w:r w:rsidRPr="002F7D5A">
        <w:rPr>
          <w:sz w:val="24"/>
          <w:szCs w:val="24"/>
        </w:rPr>
        <w:t>mechanizmów pozasądowych.</w:t>
      </w:r>
    </w:p>
    <w:p w:rsidR="007E73F7" w:rsidRPr="002F7D5A" w:rsidRDefault="007E73F7" w:rsidP="00E7396B">
      <w:pPr>
        <w:pStyle w:val="Akapitzlist"/>
        <w:spacing w:before="120" w:after="120" w:line="240" w:lineRule="auto"/>
        <w:ind w:left="927"/>
        <w:contextualSpacing w:val="0"/>
        <w:jc w:val="both"/>
        <w:rPr>
          <w:sz w:val="24"/>
          <w:szCs w:val="24"/>
        </w:rPr>
      </w:pPr>
    </w:p>
    <w:p w:rsidR="000029CF" w:rsidRPr="002F7D5A" w:rsidRDefault="00C9116F" w:rsidP="00E7396B">
      <w:pPr>
        <w:pStyle w:val="Akapitzlist"/>
        <w:numPr>
          <w:ilvl w:val="0"/>
          <w:numId w:val="10"/>
        </w:numPr>
        <w:spacing w:before="120" w:after="120" w:line="240" w:lineRule="auto"/>
        <w:contextualSpacing w:val="0"/>
        <w:jc w:val="both"/>
        <w:rPr>
          <w:b/>
          <w:sz w:val="24"/>
          <w:szCs w:val="24"/>
        </w:rPr>
      </w:pPr>
      <w:r w:rsidRPr="002F7D5A">
        <w:rPr>
          <w:b/>
          <w:sz w:val="24"/>
          <w:szCs w:val="24"/>
        </w:rPr>
        <w:t>Środki o charakterze ogólnym</w:t>
      </w:r>
    </w:p>
    <w:p w:rsidR="000029CF" w:rsidRPr="002F7D5A" w:rsidRDefault="000029CF" w:rsidP="00E7396B">
      <w:pPr>
        <w:pStyle w:val="Akapitzlist"/>
        <w:numPr>
          <w:ilvl w:val="0"/>
          <w:numId w:val="5"/>
        </w:numPr>
        <w:spacing w:before="120" w:after="120" w:line="240" w:lineRule="auto"/>
        <w:contextualSpacing w:val="0"/>
        <w:jc w:val="both"/>
        <w:rPr>
          <w:sz w:val="24"/>
          <w:szCs w:val="24"/>
        </w:rPr>
      </w:pPr>
      <w:r w:rsidRPr="002F7D5A">
        <w:rPr>
          <w:sz w:val="24"/>
          <w:szCs w:val="24"/>
        </w:rPr>
        <w:t xml:space="preserve">W celu </w:t>
      </w:r>
      <w:r w:rsidR="007E73F7" w:rsidRPr="002F7D5A">
        <w:rPr>
          <w:sz w:val="24"/>
          <w:szCs w:val="24"/>
        </w:rPr>
        <w:t>usprawnienia</w:t>
      </w:r>
      <w:r w:rsidRPr="002F7D5A">
        <w:rPr>
          <w:sz w:val="24"/>
          <w:szCs w:val="24"/>
        </w:rPr>
        <w:t xml:space="preserve"> dostępu do środków </w:t>
      </w:r>
      <w:r w:rsidR="007E73F7" w:rsidRPr="002F7D5A">
        <w:rPr>
          <w:sz w:val="24"/>
          <w:szCs w:val="24"/>
        </w:rPr>
        <w:t>zaradczych</w:t>
      </w:r>
      <w:r w:rsidRPr="002F7D5A">
        <w:rPr>
          <w:sz w:val="24"/>
          <w:szCs w:val="24"/>
        </w:rPr>
        <w:t xml:space="preserve"> ofiar</w:t>
      </w:r>
      <w:r w:rsidR="007E73F7" w:rsidRPr="002F7D5A">
        <w:rPr>
          <w:sz w:val="24"/>
          <w:szCs w:val="24"/>
        </w:rPr>
        <w:t>om</w:t>
      </w:r>
      <w:r w:rsidRPr="002F7D5A">
        <w:rPr>
          <w:sz w:val="24"/>
          <w:szCs w:val="24"/>
        </w:rPr>
        <w:t xml:space="preserve"> </w:t>
      </w:r>
      <w:r w:rsidR="007E73F7" w:rsidRPr="002F7D5A">
        <w:rPr>
          <w:sz w:val="24"/>
          <w:szCs w:val="24"/>
        </w:rPr>
        <w:t>naruszeń</w:t>
      </w:r>
      <w:r w:rsidRPr="002F7D5A">
        <w:rPr>
          <w:sz w:val="24"/>
          <w:szCs w:val="24"/>
        </w:rPr>
        <w:t xml:space="preserve"> praw człowieka</w:t>
      </w:r>
      <w:r w:rsidR="009A7A08" w:rsidRPr="002F7D5A">
        <w:rPr>
          <w:sz w:val="24"/>
          <w:szCs w:val="24"/>
        </w:rPr>
        <w:t xml:space="preserve"> związanych z biznesem</w:t>
      </w:r>
      <w:r w:rsidRPr="002F7D5A">
        <w:rPr>
          <w:sz w:val="24"/>
          <w:szCs w:val="24"/>
        </w:rPr>
        <w:t xml:space="preserve">, państwa członkowskie powinny wypełniać swoje </w:t>
      </w:r>
      <w:r w:rsidR="009A7A08" w:rsidRPr="002F7D5A">
        <w:rPr>
          <w:sz w:val="24"/>
          <w:szCs w:val="24"/>
        </w:rPr>
        <w:t>zobowiązania</w:t>
      </w:r>
      <w:r w:rsidRPr="002F7D5A">
        <w:rPr>
          <w:sz w:val="24"/>
          <w:szCs w:val="24"/>
        </w:rPr>
        <w:t xml:space="preserve"> współpracy sądowej między sobą lub z kr</w:t>
      </w:r>
      <w:r w:rsidR="009A7A08" w:rsidRPr="002F7D5A">
        <w:rPr>
          <w:sz w:val="24"/>
          <w:szCs w:val="24"/>
        </w:rPr>
        <w:t xml:space="preserve">ajami trzecimi, włączając w to </w:t>
      </w:r>
      <w:r w:rsidR="00682B78">
        <w:rPr>
          <w:sz w:val="24"/>
          <w:szCs w:val="24"/>
        </w:rPr>
        <w:t>postępowanie</w:t>
      </w:r>
      <w:r w:rsidR="00682B78" w:rsidRPr="00682B78">
        <w:rPr>
          <w:sz w:val="24"/>
          <w:szCs w:val="24"/>
        </w:rPr>
        <w:t xml:space="preserve"> przygotowa</w:t>
      </w:r>
      <w:r w:rsidR="00682B78">
        <w:rPr>
          <w:sz w:val="24"/>
          <w:szCs w:val="24"/>
        </w:rPr>
        <w:t>wcze</w:t>
      </w:r>
      <w:r w:rsidR="009A7A08" w:rsidRPr="002F7D5A">
        <w:rPr>
          <w:sz w:val="24"/>
          <w:szCs w:val="24"/>
        </w:rPr>
        <w:t>, wzajemną pomoc prawną, wymianę</w:t>
      </w:r>
      <w:r w:rsidRPr="002F7D5A">
        <w:rPr>
          <w:sz w:val="24"/>
          <w:szCs w:val="24"/>
        </w:rPr>
        <w:t xml:space="preserve"> informacji i danych, gromadzenie </w:t>
      </w:r>
      <w:r w:rsidR="009A7A08" w:rsidRPr="002F7D5A">
        <w:rPr>
          <w:sz w:val="24"/>
          <w:szCs w:val="24"/>
        </w:rPr>
        <w:t>dowodów, uznawanie i wykonywanie</w:t>
      </w:r>
      <w:r w:rsidRPr="002F7D5A">
        <w:rPr>
          <w:sz w:val="24"/>
          <w:szCs w:val="24"/>
        </w:rPr>
        <w:t xml:space="preserve"> orzeczeń, w sposób zgodny z prawami człowieka wszystkich stron biorących udział w postępowaniu. W tym celu zachęca się państwa członkowskie do </w:t>
      </w:r>
      <w:r w:rsidR="009A7A08" w:rsidRPr="002F7D5A">
        <w:rPr>
          <w:sz w:val="24"/>
          <w:szCs w:val="24"/>
        </w:rPr>
        <w:t>zacieśnienia współpracy między sobą, z krajami trzecimi i niepaństwowymi</w:t>
      </w:r>
      <w:r w:rsidR="007E73F7" w:rsidRPr="002F7D5A">
        <w:rPr>
          <w:sz w:val="24"/>
          <w:szCs w:val="24"/>
        </w:rPr>
        <w:t>,</w:t>
      </w:r>
      <w:r w:rsidRPr="002F7D5A">
        <w:rPr>
          <w:sz w:val="24"/>
          <w:szCs w:val="24"/>
        </w:rPr>
        <w:t xml:space="preserve"> poz</w:t>
      </w:r>
      <w:r w:rsidR="009A7A08" w:rsidRPr="002F7D5A">
        <w:rPr>
          <w:sz w:val="24"/>
          <w:szCs w:val="24"/>
        </w:rPr>
        <w:t>asądowymi</w:t>
      </w:r>
      <w:r w:rsidR="007E73F7" w:rsidRPr="002F7D5A">
        <w:rPr>
          <w:sz w:val="24"/>
          <w:szCs w:val="24"/>
        </w:rPr>
        <w:t xml:space="preserve"> mechanizmami</w:t>
      </w:r>
      <w:r w:rsidRPr="002F7D5A">
        <w:rPr>
          <w:sz w:val="24"/>
          <w:szCs w:val="24"/>
        </w:rPr>
        <w:t xml:space="preserve"> </w:t>
      </w:r>
      <w:r w:rsidR="007E73F7" w:rsidRPr="002F7D5A">
        <w:rPr>
          <w:sz w:val="24"/>
          <w:szCs w:val="24"/>
        </w:rPr>
        <w:t>rozpatrywania</w:t>
      </w:r>
      <w:r w:rsidRPr="002F7D5A">
        <w:rPr>
          <w:sz w:val="24"/>
          <w:szCs w:val="24"/>
        </w:rPr>
        <w:t xml:space="preserve"> skarg, </w:t>
      </w:r>
      <w:r w:rsidR="00E6765E">
        <w:rPr>
          <w:sz w:val="24"/>
          <w:szCs w:val="24"/>
        </w:rPr>
        <w:t xml:space="preserve">wykraczającej poza </w:t>
      </w:r>
      <w:r w:rsidRPr="002F7D5A">
        <w:rPr>
          <w:sz w:val="24"/>
          <w:szCs w:val="24"/>
        </w:rPr>
        <w:t xml:space="preserve">ich </w:t>
      </w:r>
      <w:r w:rsidR="000E5A29">
        <w:rPr>
          <w:sz w:val="24"/>
          <w:szCs w:val="24"/>
        </w:rPr>
        <w:t>obecne</w:t>
      </w:r>
      <w:r w:rsidR="000E5A29" w:rsidRPr="002F7D5A">
        <w:rPr>
          <w:sz w:val="24"/>
          <w:szCs w:val="24"/>
        </w:rPr>
        <w:t xml:space="preserve"> </w:t>
      </w:r>
      <w:r w:rsidR="00174C34" w:rsidRPr="002F7D5A">
        <w:rPr>
          <w:sz w:val="24"/>
          <w:szCs w:val="24"/>
        </w:rPr>
        <w:t>zobowiązania</w:t>
      </w:r>
      <w:r w:rsidRPr="002F7D5A">
        <w:rPr>
          <w:sz w:val="24"/>
          <w:szCs w:val="24"/>
        </w:rPr>
        <w:t>. Ponadto</w:t>
      </w:r>
      <w:r w:rsidR="00174C34" w:rsidRPr="002F7D5A">
        <w:rPr>
          <w:sz w:val="24"/>
          <w:szCs w:val="24"/>
        </w:rPr>
        <w:t>,</w:t>
      </w:r>
      <w:r w:rsidRPr="002F7D5A">
        <w:rPr>
          <w:sz w:val="24"/>
          <w:szCs w:val="24"/>
        </w:rPr>
        <w:t xml:space="preserve"> państwa członkowskie powinny podejmować więcej starań, aby wspierać s</w:t>
      </w:r>
      <w:r w:rsidR="00011615" w:rsidRPr="002F7D5A">
        <w:rPr>
          <w:sz w:val="24"/>
          <w:szCs w:val="24"/>
        </w:rPr>
        <w:t>ię wzajemnie poprzez techniczną współpracę i wymianę</w:t>
      </w:r>
      <w:r w:rsidRPr="002F7D5A">
        <w:rPr>
          <w:sz w:val="24"/>
          <w:szCs w:val="24"/>
        </w:rPr>
        <w:t xml:space="preserve"> doświadczeń.</w:t>
      </w:r>
    </w:p>
    <w:p w:rsidR="000029CF" w:rsidRPr="002F7D5A" w:rsidRDefault="002C45EE" w:rsidP="00E7396B">
      <w:pPr>
        <w:pStyle w:val="Akapitzlist"/>
        <w:numPr>
          <w:ilvl w:val="0"/>
          <w:numId w:val="5"/>
        </w:numPr>
        <w:spacing w:before="120" w:after="120" w:line="240" w:lineRule="auto"/>
        <w:contextualSpacing w:val="0"/>
        <w:jc w:val="both"/>
        <w:rPr>
          <w:sz w:val="24"/>
          <w:szCs w:val="24"/>
        </w:rPr>
      </w:pPr>
      <w:r w:rsidRPr="002F7D5A">
        <w:rPr>
          <w:sz w:val="24"/>
          <w:szCs w:val="24"/>
        </w:rPr>
        <w:t xml:space="preserve">Państwa członkowskie powinny zapewnić wystarczające </w:t>
      </w:r>
      <w:r w:rsidR="00A27ED0" w:rsidRPr="002F7D5A">
        <w:rPr>
          <w:sz w:val="24"/>
          <w:szCs w:val="24"/>
        </w:rPr>
        <w:t xml:space="preserve">środki </w:t>
      </w:r>
      <w:r w:rsidRPr="002F7D5A">
        <w:rPr>
          <w:sz w:val="24"/>
          <w:szCs w:val="24"/>
        </w:rPr>
        <w:t xml:space="preserve">i </w:t>
      </w:r>
      <w:r w:rsidR="00A27ED0" w:rsidRPr="002F7D5A">
        <w:rPr>
          <w:sz w:val="24"/>
          <w:szCs w:val="24"/>
        </w:rPr>
        <w:t>rozważyć opracowanie specjalnych wytycznych</w:t>
      </w:r>
      <w:r w:rsidR="00174C34" w:rsidRPr="002F7D5A">
        <w:rPr>
          <w:sz w:val="24"/>
          <w:szCs w:val="24"/>
        </w:rPr>
        <w:t xml:space="preserve"> i szkoleń</w:t>
      </w:r>
      <w:r w:rsidRPr="002F7D5A">
        <w:rPr>
          <w:sz w:val="24"/>
          <w:szCs w:val="24"/>
        </w:rPr>
        <w:t xml:space="preserve"> dla sędziów, prokuratorów, inspektorów, arbitrów i mediatorów </w:t>
      </w:r>
      <w:r w:rsidR="00174C34" w:rsidRPr="002F7D5A">
        <w:rPr>
          <w:sz w:val="24"/>
          <w:szCs w:val="24"/>
        </w:rPr>
        <w:t>dotyczących naruszeń</w:t>
      </w:r>
      <w:r w:rsidRPr="002F7D5A">
        <w:rPr>
          <w:sz w:val="24"/>
          <w:szCs w:val="24"/>
        </w:rPr>
        <w:t xml:space="preserve"> praw człowieka</w:t>
      </w:r>
      <w:r w:rsidR="00F76A92" w:rsidRPr="002F7D5A">
        <w:rPr>
          <w:sz w:val="24"/>
          <w:szCs w:val="24"/>
        </w:rPr>
        <w:t xml:space="preserve"> związanych</w:t>
      </w:r>
      <w:r w:rsidR="00A27ED0" w:rsidRPr="002F7D5A">
        <w:rPr>
          <w:sz w:val="24"/>
          <w:szCs w:val="24"/>
        </w:rPr>
        <w:t xml:space="preserve"> </w:t>
      </w:r>
      <w:r w:rsidR="00F76A92" w:rsidRPr="002F7D5A">
        <w:rPr>
          <w:sz w:val="24"/>
          <w:szCs w:val="24"/>
        </w:rPr>
        <w:t>z biznesem, w szczególności tych</w:t>
      </w:r>
      <w:r w:rsidRPr="002F7D5A">
        <w:rPr>
          <w:sz w:val="24"/>
          <w:szCs w:val="24"/>
        </w:rPr>
        <w:t xml:space="preserve"> </w:t>
      </w:r>
      <w:r w:rsidR="00F76A92" w:rsidRPr="002F7D5A">
        <w:rPr>
          <w:sz w:val="24"/>
          <w:szCs w:val="24"/>
        </w:rPr>
        <w:t>zawierających</w:t>
      </w:r>
      <w:r w:rsidRPr="002F7D5A">
        <w:rPr>
          <w:sz w:val="24"/>
          <w:szCs w:val="24"/>
        </w:rPr>
        <w:t xml:space="preserve"> komponent ponadnarodowy.</w:t>
      </w:r>
    </w:p>
    <w:p w:rsidR="002C45EE" w:rsidRPr="002F7D5A" w:rsidRDefault="002C45EE" w:rsidP="00E7396B">
      <w:pPr>
        <w:pStyle w:val="Akapitzlist"/>
        <w:numPr>
          <w:ilvl w:val="0"/>
          <w:numId w:val="5"/>
        </w:numPr>
        <w:spacing w:before="120" w:after="120" w:line="240" w:lineRule="auto"/>
        <w:contextualSpacing w:val="0"/>
        <w:jc w:val="both"/>
        <w:rPr>
          <w:sz w:val="24"/>
          <w:szCs w:val="24"/>
        </w:rPr>
      </w:pPr>
      <w:r w:rsidRPr="002F7D5A">
        <w:rPr>
          <w:sz w:val="24"/>
          <w:szCs w:val="24"/>
        </w:rPr>
        <w:t xml:space="preserve">Domniemane ofiary </w:t>
      </w:r>
      <w:r w:rsidR="00A27ED0" w:rsidRPr="002F7D5A">
        <w:rPr>
          <w:sz w:val="24"/>
          <w:szCs w:val="24"/>
        </w:rPr>
        <w:t>naruszeń</w:t>
      </w:r>
      <w:r w:rsidRPr="002F7D5A">
        <w:rPr>
          <w:sz w:val="24"/>
          <w:szCs w:val="24"/>
        </w:rPr>
        <w:t xml:space="preserve"> praw człowieka</w:t>
      </w:r>
      <w:r w:rsidR="00A27ED0" w:rsidRPr="002F7D5A">
        <w:rPr>
          <w:sz w:val="24"/>
          <w:szCs w:val="24"/>
        </w:rPr>
        <w:t xml:space="preserve"> związanych z biznesem</w:t>
      </w:r>
      <w:r w:rsidRPr="002F7D5A">
        <w:rPr>
          <w:sz w:val="24"/>
          <w:szCs w:val="24"/>
        </w:rPr>
        <w:t xml:space="preserve"> w obrębie jurysdykcji terytorialnej państw członkowski</w:t>
      </w:r>
      <w:r w:rsidR="00E6765E">
        <w:rPr>
          <w:sz w:val="24"/>
          <w:szCs w:val="24"/>
        </w:rPr>
        <w:t>ch</w:t>
      </w:r>
      <w:r w:rsidRPr="002F7D5A">
        <w:rPr>
          <w:sz w:val="24"/>
          <w:szCs w:val="24"/>
        </w:rPr>
        <w:t xml:space="preserve"> powinny mieć powszechny dostęp do informacji na temat </w:t>
      </w:r>
      <w:r w:rsidR="00A27ED0" w:rsidRPr="002F7D5A">
        <w:rPr>
          <w:sz w:val="24"/>
          <w:szCs w:val="24"/>
        </w:rPr>
        <w:t xml:space="preserve">treści </w:t>
      </w:r>
      <w:r w:rsidR="00E6765E">
        <w:rPr>
          <w:sz w:val="24"/>
          <w:szCs w:val="24"/>
        </w:rPr>
        <w:t>odnośnych</w:t>
      </w:r>
      <w:r w:rsidR="00304F65">
        <w:rPr>
          <w:sz w:val="24"/>
          <w:szCs w:val="24"/>
        </w:rPr>
        <w:t xml:space="preserve"> </w:t>
      </w:r>
      <w:r w:rsidR="00F76A92" w:rsidRPr="002F7D5A">
        <w:rPr>
          <w:sz w:val="24"/>
          <w:szCs w:val="24"/>
        </w:rPr>
        <w:t>praw człowieka oraz</w:t>
      </w:r>
      <w:r w:rsidRPr="002F7D5A">
        <w:rPr>
          <w:sz w:val="24"/>
          <w:szCs w:val="24"/>
        </w:rPr>
        <w:t xml:space="preserve"> istniejących środków sądowych i pozasądowych w języku dla nich zrozumiałym.</w:t>
      </w:r>
    </w:p>
    <w:p w:rsidR="00A27ED0" w:rsidRPr="002F7D5A" w:rsidRDefault="00A27ED0" w:rsidP="00E7396B">
      <w:pPr>
        <w:pStyle w:val="Akapitzlist"/>
        <w:spacing w:before="120" w:after="120" w:line="240" w:lineRule="auto"/>
        <w:ind w:left="927"/>
        <w:contextualSpacing w:val="0"/>
        <w:jc w:val="both"/>
        <w:rPr>
          <w:sz w:val="24"/>
          <w:szCs w:val="24"/>
        </w:rPr>
      </w:pPr>
    </w:p>
    <w:p w:rsidR="002C45EE" w:rsidRDefault="002C45EE" w:rsidP="00E7396B">
      <w:pPr>
        <w:pStyle w:val="Akapitzlist"/>
        <w:numPr>
          <w:ilvl w:val="0"/>
          <w:numId w:val="3"/>
        </w:numPr>
        <w:spacing w:before="120" w:after="120" w:line="240" w:lineRule="auto"/>
        <w:ind w:left="993" w:hanging="273"/>
        <w:contextualSpacing w:val="0"/>
        <w:jc w:val="both"/>
        <w:rPr>
          <w:b/>
          <w:sz w:val="24"/>
          <w:szCs w:val="24"/>
        </w:rPr>
      </w:pPr>
      <w:r w:rsidRPr="002F7D5A">
        <w:rPr>
          <w:b/>
          <w:sz w:val="24"/>
          <w:szCs w:val="24"/>
        </w:rPr>
        <w:t>Dodatkowa ochrona pracowników</w:t>
      </w:r>
    </w:p>
    <w:p w:rsidR="00E7396B" w:rsidRPr="002F7D5A" w:rsidRDefault="00E7396B" w:rsidP="00E7396B">
      <w:pPr>
        <w:pStyle w:val="Akapitzlist"/>
        <w:spacing w:before="120" w:after="120" w:line="240" w:lineRule="auto"/>
        <w:ind w:left="993"/>
        <w:contextualSpacing w:val="0"/>
        <w:jc w:val="both"/>
        <w:rPr>
          <w:b/>
          <w:sz w:val="24"/>
          <w:szCs w:val="24"/>
        </w:rPr>
      </w:pPr>
    </w:p>
    <w:p w:rsidR="002C45EE" w:rsidRPr="002F7D5A" w:rsidRDefault="002C45EE" w:rsidP="00E7396B">
      <w:pPr>
        <w:pStyle w:val="Akapitzlist"/>
        <w:numPr>
          <w:ilvl w:val="0"/>
          <w:numId w:val="5"/>
        </w:numPr>
        <w:spacing w:before="120" w:after="120" w:line="240" w:lineRule="auto"/>
        <w:contextualSpacing w:val="0"/>
        <w:jc w:val="both"/>
        <w:rPr>
          <w:sz w:val="24"/>
          <w:szCs w:val="24"/>
        </w:rPr>
      </w:pPr>
      <w:r w:rsidRPr="002F7D5A">
        <w:rPr>
          <w:sz w:val="24"/>
          <w:szCs w:val="24"/>
        </w:rPr>
        <w:t>Państwa członkowskie powinny wymagać od przedsiębiorstw przestrzegania praw pracowników</w:t>
      </w:r>
      <w:r w:rsidR="009816BD">
        <w:rPr>
          <w:sz w:val="24"/>
          <w:szCs w:val="24"/>
        </w:rPr>
        <w:t xml:space="preserve"> w działalności prowadzonej</w:t>
      </w:r>
      <w:r w:rsidRPr="002F7D5A">
        <w:rPr>
          <w:sz w:val="24"/>
          <w:szCs w:val="24"/>
        </w:rPr>
        <w:t xml:space="preserve"> </w:t>
      </w:r>
      <w:r w:rsidR="00E6765E">
        <w:rPr>
          <w:sz w:val="24"/>
          <w:szCs w:val="24"/>
        </w:rPr>
        <w:t xml:space="preserve">w obrębie </w:t>
      </w:r>
      <w:r w:rsidRPr="002F7D5A">
        <w:rPr>
          <w:sz w:val="24"/>
          <w:szCs w:val="24"/>
        </w:rPr>
        <w:t xml:space="preserve">ich </w:t>
      </w:r>
      <w:r w:rsidR="00A27ED0" w:rsidRPr="002F7D5A">
        <w:rPr>
          <w:sz w:val="24"/>
          <w:szCs w:val="24"/>
        </w:rPr>
        <w:t xml:space="preserve">jurysdykcji terytorialnej oraz, w stosownych przypadkach, </w:t>
      </w:r>
      <w:r w:rsidR="009816BD">
        <w:rPr>
          <w:sz w:val="24"/>
          <w:szCs w:val="24"/>
        </w:rPr>
        <w:t>w całej działalności</w:t>
      </w:r>
      <w:r w:rsidR="009E7139">
        <w:rPr>
          <w:sz w:val="24"/>
          <w:szCs w:val="24"/>
        </w:rPr>
        <w:t xml:space="preserve"> prowadzonej</w:t>
      </w:r>
      <w:r w:rsidR="009816BD">
        <w:rPr>
          <w:sz w:val="24"/>
          <w:szCs w:val="24"/>
        </w:rPr>
        <w:t xml:space="preserve"> za granicą</w:t>
      </w:r>
      <w:r w:rsidRPr="002F7D5A">
        <w:rPr>
          <w:sz w:val="24"/>
          <w:szCs w:val="24"/>
        </w:rPr>
        <w:t xml:space="preserve">, </w:t>
      </w:r>
      <w:r w:rsidR="005D4A09" w:rsidRPr="002F7D5A">
        <w:rPr>
          <w:sz w:val="24"/>
          <w:szCs w:val="24"/>
        </w:rPr>
        <w:t>jeśli mają siedzibę w</w:t>
      </w:r>
      <w:r w:rsidR="00C9116F" w:rsidRPr="002F7D5A">
        <w:rPr>
          <w:sz w:val="24"/>
          <w:szCs w:val="24"/>
        </w:rPr>
        <w:t xml:space="preserve"> </w:t>
      </w:r>
      <w:r w:rsidR="00F76A92" w:rsidRPr="002F7D5A">
        <w:rPr>
          <w:sz w:val="24"/>
          <w:szCs w:val="24"/>
        </w:rPr>
        <w:t>obrębie</w:t>
      </w:r>
      <w:r w:rsidR="005D4A09" w:rsidRPr="002F7D5A">
        <w:rPr>
          <w:sz w:val="24"/>
          <w:szCs w:val="24"/>
        </w:rPr>
        <w:t xml:space="preserve"> ich</w:t>
      </w:r>
      <w:r w:rsidRPr="002F7D5A">
        <w:rPr>
          <w:sz w:val="24"/>
          <w:szCs w:val="24"/>
        </w:rPr>
        <w:t xml:space="preserve"> jurysdykcji.</w:t>
      </w:r>
    </w:p>
    <w:p w:rsidR="002C45EE" w:rsidRPr="002F7D5A" w:rsidRDefault="002C45EE" w:rsidP="00E7396B">
      <w:pPr>
        <w:pStyle w:val="Akapitzlist"/>
        <w:numPr>
          <w:ilvl w:val="0"/>
          <w:numId w:val="5"/>
        </w:numPr>
        <w:spacing w:before="120" w:after="120" w:line="240" w:lineRule="auto"/>
        <w:contextualSpacing w:val="0"/>
        <w:jc w:val="both"/>
        <w:rPr>
          <w:sz w:val="24"/>
          <w:szCs w:val="24"/>
        </w:rPr>
      </w:pPr>
      <w:r w:rsidRPr="002F7D5A">
        <w:rPr>
          <w:sz w:val="24"/>
          <w:szCs w:val="24"/>
        </w:rPr>
        <w:t xml:space="preserve">Państwa członkowskie powinny </w:t>
      </w:r>
      <w:r w:rsidR="00E6765E">
        <w:rPr>
          <w:sz w:val="24"/>
          <w:szCs w:val="24"/>
        </w:rPr>
        <w:t>zwiększyć</w:t>
      </w:r>
      <w:r w:rsidR="00E6765E" w:rsidRPr="002F7D5A">
        <w:rPr>
          <w:sz w:val="24"/>
          <w:szCs w:val="24"/>
        </w:rPr>
        <w:t xml:space="preserve"> </w:t>
      </w:r>
      <w:r w:rsidRPr="002F7D5A">
        <w:rPr>
          <w:sz w:val="24"/>
          <w:szCs w:val="24"/>
        </w:rPr>
        <w:t>wysiłki w celu spełnienia swoich zobowiązań w</w:t>
      </w:r>
      <w:r w:rsidR="00D030C5" w:rsidRPr="002F7D5A">
        <w:rPr>
          <w:sz w:val="24"/>
          <w:szCs w:val="24"/>
        </w:rPr>
        <w:t>obec pracowników wynikających z</w:t>
      </w:r>
      <w:r w:rsidRPr="002F7D5A">
        <w:rPr>
          <w:sz w:val="24"/>
          <w:szCs w:val="24"/>
        </w:rPr>
        <w:t xml:space="preserve"> </w:t>
      </w:r>
      <w:r w:rsidR="00CC00E7">
        <w:rPr>
          <w:sz w:val="24"/>
          <w:szCs w:val="24"/>
        </w:rPr>
        <w:t xml:space="preserve">Międzynarodowego </w:t>
      </w:r>
      <w:r w:rsidRPr="002F7D5A">
        <w:rPr>
          <w:sz w:val="24"/>
          <w:szCs w:val="24"/>
        </w:rPr>
        <w:t>Paktu Praw Gospodarczy</w:t>
      </w:r>
      <w:r w:rsidR="00D030C5" w:rsidRPr="002F7D5A">
        <w:rPr>
          <w:sz w:val="24"/>
          <w:szCs w:val="24"/>
        </w:rPr>
        <w:t>ch, Społecznych i Kulturalnych</w:t>
      </w:r>
      <w:r w:rsidR="00CC00E7">
        <w:rPr>
          <w:sz w:val="24"/>
          <w:szCs w:val="24"/>
        </w:rPr>
        <w:t xml:space="preserve"> przyjętego przez ONZ</w:t>
      </w:r>
      <w:r w:rsidR="00D030C5" w:rsidRPr="002F7D5A">
        <w:rPr>
          <w:sz w:val="24"/>
          <w:szCs w:val="24"/>
        </w:rPr>
        <w:t>, Konwencji</w:t>
      </w:r>
      <w:r w:rsidRPr="002F7D5A">
        <w:rPr>
          <w:sz w:val="24"/>
          <w:szCs w:val="24"/>
        </w:rPr>
        <w:t xml:space="preserve"> </w:t>
      </w:r>
      <w:r w:rsidR="00D030C5" w:rsidRPr="002F7D5A">
        <w:rPr>
          <w:sz w:val="24"/>
          <w:szCs w:val="24"/>
        </w:rPr>
        <w:t>o ochronie praw c</w:t>
      </w:r>
      <w:r w:rsidRPr="002F7D5A">
        <w:rPr>
          <w:sz w:val="24"/>
          <w:szCs w:val="24"/>
        </w:rPr>
        <w:t>złowieka</w:t>
      </w:r>
      <w:r w:rsidR="00D030C5" w:rsidRPr="002F7D5A">
        <w:rPr>
          <w:sz w:val="24"/>
          <w:szCs w:val="24"/>
        </w:rPr>
        <w:t xml:space="preserve"> i podstawowych wolności, Europejskiej Karty</w:t>
      </w:r>
      <w:r w:rsidRPr="002F7D5A">
        <w:rPr>
          <w:sz w:val="24"/>
          <w:szCs w:val="24"/>
        </w:rPr>
        <w:t xml:space="preserve"> Społecznej, Europejskiej</w:t>
      </w:r>
      <w:r w:rsidR="00126240" w:rsidRPr="002F7D5A">
        <w:rPr>
          <w:sz w:val="24"/>
          <w:szCs w:val="24"/>
        </w:rPr>
        <w:t xml:space="preserve"> Karty Społecznej (zrewidowan</w:t>
      </w:r>
      <w:r w:rsidR="00CC00E7">
        <w:rPr>
          <w:sz w:val="24"/>
          <w:szCs w:val="24"/>
        </w:rPr>
        <w:t>ej</w:t>
      </w:r>
      <w:r w:rsidR="00D030C5" w:rsidRPr="002F7D5A">
        <w:rPr>
          <w:sz w:val="24"/>
          <w:szCs w:val="24"/>
        </w:rPr>
        <w:t xml:space="preserve">) oraz </w:t>
      </w:r>
      <w:r w:rsidR="00DF2868" w:rsidRPr="002F7D5A">
        <w:rPr>
          <w:sz w:val="24"/>
          <w:szCs w:val="24"/>
        </w:rPr>
        <w:t xml:space="preserve">podstawowych </w:t>
      </w:r>
      <w:r w:rsidR="00D030C5" w:rsidRPr="002F7D5A">
        <w:rPr>
          <w:sz w:val="24"/>
          <w:szCs w:val="24"/>
        </w:rPr>
        <w:t>konwencji</w:t>
      </w:r>
      <w:r w:rsidRPr="002F7D5A">
        <w:rPr>
          <w:sz w:val="24"/>
          <w:szCs w:val="24"/>
        </w:rPr>
        <w:t xml:space="preserve"> Międzynarodow</w:t>
      </w:r>
      <w:r w:rsidR="00D030C5" w:rsidRPr="002F7D5A">
        <w:rPr>
          <w:sz w:val="24"/>
          <w:szCs w:val="24"/>
        </w:rPr>
        <w:t>ej Organizacj</w:t>
      </w:r>
      <w:r w:rsidR="00591EC1">
        <w:rPr>
          <w:sz w:val="24"/>
          <w:szCs w:val="24"/>
        </w:rPr>
        <w:t>i</w:t>
      </w:r>
      <w:r w:rsidR="00D030C5" w:rsidRPr="002F7D5A">
        <w:rPr>
          <w:sz w:val="24"/>
          <w:szCs w:val="24"/>
        </w:rPr>
        <w:t xml:space="preserve"> Pracy dotyczących</w:t>
      </w:r>
      <w:r w:rsidRPr="002F7D5A">
        <w:rPr>
          <w:sz w:val="24"/>
          <w:szCs w:val="24"/>
        </w:rPr>
        <w:t xml:space="preserve"> w szczególności swobody zrzeszania się, praw</w:t>
      </w:r>
      <w:r w:rsidR="00D030C5" w:rsidRPr="002F7D5A">
        <w:rPr>
          <w:sz w:val="24"/>
          <w:szCs w:val="24"/>
        </w:rPr>
        <w:t>a</w:t>
      </w:r>
      <w:r w:rsidRPr="002F7D5A">
        <w:rPr>
          <w:sz w:val="24"/>
          <w:szCs w:val="24"/>
        </w:rPr>
        <w:t xml:space="preserve"> do rokowań zbiorowych, zakazu dyskryminacji, pracy </w:t>
      </w:r>
      <w:r w:rsidR="00D030C5" w:rsidRPr="002F7D5A">
        <w:rPr>
          <w:sz w:val="24"/>
          <w:szCs w:val="24"/>
        </w:rPr>
        <w:t xml:space="preserve">dzieci i </w:t>
      </w:r>
      <w:r w:rsidR="00CC00E7">
        <w:rPr>
          <w:sz w:val="24"/>
          <w:szCs w:val="24"/>
        </w:rPr>
        <w:t xml:space="preserve">pracy </w:t>
      </w:r>
      <w:r w:rsidRPr="002F7D5A">
        <w:rPr>
          <w:sz w:val="24"/>
          <w:szCs w:val="24"/>
        </w:rPr>
        <w:t>przymusowej, a także wszystkich innych odpowiednich instrumentów m</w:t>
      </w:r>
      <w:r w:rsidR="00D030C5" w:rsidRPr="002F7D5A">
        <w:rPr>
          <w:sz w:val="24"/>
          <w:szCs w:val="24"/>
        </w:rPr>
        <w:t>iędzynarodowych, w tym odnoszących</w:t>
      </w:r>
      <w:r w:rsidRPr="002F7D5A">
        <w:rPr>
          <w:sz w:val="24"/>
          <w:szCs w:val="24"/>
        </w:rPr>
        <w:t xml:space="preserve"> się do zdrowia i bezpieczeństwa pracowników i osó</w:t>
      </w:r>
      <w:r w:rsidR="00D030C5" w:rsidRPr="002F7D5A">
        <w:rPr>
          <w:sz w:val="24"/>
          <w:szCs w:val="24"/>
        </w:rPr>
        <w:t xml:space="preserve">b pracujących w </w:t>
      </w:r>
      <w:r w:rsidR="00126240" w:rsidRPr="002F7D5A">
        <w:rPr>
          <w:sz w:val="24"/>
          <w:szCs w:val="24"/>
        </w:rPr>
        <w:t>ramach gospodarki nieformalnej</w:t>
      </w:r>
      <w:r w:rsidR="00D030C5" w:rsidRPr="002F7D5A">
        <w:rPr>
          <w:sz w:val="24"/>
          <w:szCs w:val="24"/>
        </w:rPr>
        <w:t>.</w:t>
      </w:r>
    </w:p>
    <w:p w:rsidR="00075D78" w:rsidRPr="002F7D5A" w:rsidRDefault="00075D78" w:rsidP="00E7396B">
      <w:pPr>
        <w:pStyle w:val="Akapitzlist"/>
        <w:numPr>
          <w:ilvl w:val="0"/>
          <w:numId w:val="5"/>
        </w:numPr>
        <w:spacing w:before="120" w:after="120" w:line="240" w:lineRule="auto"/>
        <w:contextualSpacing w:val="0"/>
        <w:jc w:val="both"/>
        <w:rPr>
          <w:sz w:val="24"/>
          <w:szCs w:val="24"/>
        </w:rPr>
      </w:pPr>
      <w:r w:rsidRPr="002F7D5A">
        <w:rPr>
          <w:sz w:val="24"/>
          <w:szCs w:val="24"/>
        </w:rPr>
        <w:lastRenderedPageBreak/>
        <w:t>Państwa członkowskie powinny angażować partn</w:t>
      </w:r>
      <w:r w:rsidR="00DF2868" w:rsidRPr="002F7D5A">
        <w:rPr>
          <w:sz w:val="24"/>
          <w:szCs w:val="24"/>
        </w:rPr>
        <w:t xml:space="preserve">erów społecznych w opracowywanie i wdrażanie </w:t>
      </w:r>
      <w:r w:rsidR="005D03C7">
        <w:rPr>
          <w:sz w:val="24"/>
          <w:szCs w:val="24"/>
        </w:rPr>
        <w:t>strategii</w:t>
      </w:r>
      <w:r w:rsidR="009E7139">
        <w:rPr>
          <w:sz w:val="24"/>
          <w:szCs w:val="24"/>
        </w:rPr>
        <w:t xml:space="preserve"> </w:t>
      </w:r>
      <w:r w:rsidRPr="002F7D5A">
        <w:rPr>
          <w:sz w:val="24"/>
          <w:szCs w:val="24"/>
        </w:rPr>
        <w:t xml:space="preserve">w sprawach, które są szczególnie </w:t>
      </w:r>
      <w:r w:rsidR="00CC00E7">
        <w:rPr>
          <w:sz w:val="24"/>
          <w:szCs w:val="24"/>
        </w:rPr>
        <w:t xml:space="preserve">wrażliwe </w:t>
      </w:r>
      <w:r w:rsidR="00DF2868" w:rsidRPr="002F7D5A">
        <w:rPr>
          <w:sz w:val="24"/>
          <w:szCs w:val="24"/>
        </w:rPr>
        <w:t>z punktu widzenia</w:t>
      </w:r>
      <w:r w:rsidRPr="002F7D5A">
        <w:rPr>
          <w:sz w:val="24"/>
          <w:szCs w:val="24"/>
        </w:rPr>
        <w:t xml:space="preserve"> praw pracowniczych.</w:t>
      </w:r>
    </w:p>
    <w:p w:rsidR="00AE6B85" w:rsidRPr="002F7D5A" w:rsidRDefault="00AE6B85" w:rsidP="00E7396B">
      <w:pPr>
        <w:pStyle w:val="Akapitzlist"/>
        <w:spacing w:before="120" w:after="120" w:line="240" w:lineRule="auto"/>
        <w:ind w:left="927"/>
        <w:contextualSpacing w:val="0"/>
        <w:jc w:val="both"/>
        <w:rPr>
          <w:sz w:val="24"/>
          <w:szCs w:val="24"/>
        </w:rPr>
      </w:pPr>
    </w:p>
    <w:p w:rsidR="00075D78" w:rsidRDefault="00075D78" w:rsidP="00E7396B">
      <w:pPr>
        <w:pStyle w:val="Akapitzlist"/>
        <w:numPr>
          <w:ilvl w:val="0"/>
          <w:numId w:val="3"/>
        </w:numPr>
        <w:spacing w:before="120" w:after="120" w:line="240" w:lineRule="auto"/>
        <w:ind w:left="993" w:hanging="273"/>
        <w:contextualSpacing w:val="0"/>
        <w:jc w:val="both"/>
        <w:rPr>
          <w:b/>
          <w:sz w:val="24"/>
          <w:szCs w:val="24"/>
        </w:rPr>
      </w:pPr>
      <w:r w:rsidRPr="002F7D5A">
        <w:rPr>
          <w:b/>
          <w:sz w:val="24"/>
          <w:szCs w:val="24"/>
        </w:rPr>
        <w:t>Dodatkowa ochrona dzieci</w:t>
      </w:r>
    </w:p>
    <w:p w:rsidR="00E7396B" w:rsidRPr="002F7D5A" w:rsidRDefault="00E7396B" w:rsidP="00E7396B">
      <w:pPr>
        <w:pStyle w:val="Akapitzlist"/>
        <w:spacing w:before="120" w:after="120" w:line="240" w:lineRule="auto"/>
        <w:ind w:left="993"/>
        <w:contextualSpacing w:val="0"/>
        <w:jc w:val="both"/>
        <w:rPr>
          <w:b/>
          <w:sz w:val="24"/>
          <w:szCs w:val="24"/>
        </w:rPr>
      </w:pPr>
    </w:p>
    <w:p w:rsidR="00075D78" w:rsidRPr="002F7D5A" w:rsidRDefault="00075D78" w:rsidP="00E7396B">
      <w:pPr>
        <w:pStyle w:val="Akapitzlist"/>
        <w:numPr>
          <w:ilvl w:val="0"/>
          <w:numId w:val="5"/>
        </w:numPr>
        <w:spacing w:before="120" w:after="120" w:line="240" w:lineRule="auto"/>
        <w:contextualSpacing w:val="0"/>
        <w:jc w:val="both"/>
        <w:rPr>
          <w:sz w:val="24"/>
          <w:szCs w:val="24"/>
        </w:rPr>
      </w:pPr>
      <w:r w:rsidRPr="002F7D5A">
        <w:rPr>
          <w:sz w:val="24"/>
          <w:szCs w:val="24"/>
        </w:rPr>
        <w:t xml:space="preserve">Państwa członkowskie powinny wymagać od przedsiębiorstw przestrzegania praw dzieci, gdy </w:t>
      </w:r>
      <w:r w:rsidR="00AE6B85" w:rsidRPr="002F7D5A">
        <w:rPr>
          <w:sz w:val="24"/>
          <w:szCs w:val="24"/>
        </w:rPr>
        <w:t>prowadzą one działalność</w:t>
      </w:r>
      <w:r w:rsidRPr="002F7D5A">
        <w:rPr>
          <w:sz w:val="24"/>
          <w:szCs w:val="24"/>
        </w:rPr>
        <w:t xml:space="preserve"> w ramach ich jurysdykcji terytorialnej oraz, w stosownych przypadkach, </w:t>
      </w:r>
      <w:r w:rsidR="005D03C7" w:rsidRPr="005D03C7">
        <w:rPr>
          <w:sz w:val="24"/>
          <w:szCs w:val="24"/>
        </w:rPr>
        <w:t>w całej działalności prowadzonej za granicą</w:t>
      </w:r>
      <w:r w:rsidRPr="002F7D5A">
        <w:rPr>
          <w:sz w:val="24"/>
          <w:szCs w:val="24"/>
        </w:rPr>
        <w:t xml:space="preserve">, </w:t>
      </w:r>
      <w:r w:rsidR="00AE6B85" w:rsidRPr="002F7D5A">
        <w:rPr>
          <w:sz w:val="24"/>
          <w:szCs w:val="24"/>
        </w:rPr>
        <w:t xml:space="preserve">jeśli mają siedzibę </w:t>
      </w:r>
      <w:r w:rsidRPr="002F7D5A">
        <w:rPr>
          <w:sz w:val="24"/>
          <w:szCs w:val="24"/>
        </w:rPr>
        <w:t>w</w:t>
      </w:r>
      <w:r w:rsidR="00AE6B85" w:rsidRPr="002F7D5A">
        <w:rPr>
          <w:sz w:val="24"/>
          <w:szCs w:val="24"/>
        </w:rPr>
        <w:t xml:space="preserve"> </w:t>
      </w:r>
      <w:r w:rsidR="00126240" w:rsidRPr="002F7D5A">
        <w:rPr>
          <w:sz w:val="24"/>
          <w:szCs w:val="24"/>
        </w:rPr>
        <w:t>obrębie</w:t>
      </w:r>
      <w:r w:rsidRPr="002F7D5A">
        <w:rPr>
          <w:sz w:val="24"/>
          <w:szCs w:val="24"/>
        </w:rPr>
        <w:t xml:space="preserve"> ich jurysdykcji.</w:t>
      </w:r>
    </w:p>
    <w:p w:rsidR="00075D78" w:rsidRPr="002F7D5A" w:rsidRDefault="00B87EE6" w:rsidP="00E7396B">
      <w:pPr>
        <w:pStyle w:val="Akapitzlist"/>
        <w:numPr>
          <w:ilvl w:val="0"/>
          <w:numId w:val="5"/>
        </w:numPr>
        <w:spacing w:before="120" w:after="120" w:line="240" w:lineRule="auto"/>
        <w:contextualSpacing w:val="0"/>
        <w:jc w:val="both"/>
        <w:rPr>
          <w:sz w:val="24"/>
          <w:szCs w:val="24"/>
        </w:rPr>
      </w:pPr>
      <w:r>
        <w:rPr>
          <w:sz w:val="24"/>
          <w:szCs w:val="24"/>
        </w:rPr>
        <w:t>W</w:t>
      </w:r>
      <w:r w:rsidR="00170C3C" w:rsidRPr="002F7D5A">
        <w:rPr>
          <w:sz w:val="24"/>
          <w:szCs w:val="24"/>
        </w:rPr>
        <w:t>draża</w:t>
      </w:r>
      <w:r>
        <w:rPr>
          <w:sz w:val="24"/>
          <w:szCs w:val="24"/>
        </w:rPr>
        <w:t>jąc</w:t>
      </w:r>
      <w:r w:rsidR="00170C3C" w:rsidRPr="002F7D5A">
        <w:rPr>
          <w:sz w:val="24"/>
          <w:szCs w:val="24"/>
        </w:rPr>
        <w:t xml:space="preserve"> Konwencj</w:t>
      </w:r>
      <w:r>
        <w:rPr>
          <w:sz w:val="24"/>
          <w:szCs w:val="24"/>
        </w:rPr>
        <w:t>ę</w:t>
      </w:r>
      <w:r w:rsidR="00170C3C" w:rsidRPr="002F7D5A">
        <w:rPr>
          <w:sz w:val="24"/>
          <w:szCs w:val="24"/>
        </w:rPr>
        <w:t xml:space="preserve"> ONZ o prawach dziec</w:t>
      </w:r>
      <w:r w:rsidR="00AE6B85" w:rsidRPr="002F7D5A">
        <w:rPr>
          <w:sz w:val="24"/>
          <w:szCs w:val="24"/>
        </w:rPr>
        <w:t xml:space="preserve">ka z dnia 20 listopada 1989 r. i </w:t>
      </w:r>
      <w:r w:rsidR="00170C3C" w:rsidRPr="002F7D5A">
        <w:rPr>
          <w:sz w:val="24"/>
          <w:szCs w:val="24"/>
        </w:rPr>
        <w:t>protokołów fakultatywnych</w:t>
      </w:r>
      <w:r w:rsidR="00AE6B85" w:rsidRPr="002F7D5A">
        <w:rPr>
          <w:sz w:val="24"/>
          <w:szCs w:val="24"/>
        </w:rPr>
        <w:t xml:space="preserve"> do niej</w:t>
      </w:r>
      <w:r w:rsidR="00170C3C" w:rsidRPr="002F7D5A">
        <w:rPr>
          <w:sz w:val="24"/>
          <w:szCs w:val="24"/>
        </w:rPr>
        <w:t>, państwa członkowskie powinny</w:t>
      </w:r>
      <w:r w:rsidR="00304F65">
        <w:rPr>
          <w:sz w:val="24"/>
          <w:szCs w:val="24"/>
        </w:rPr>
        <w:t xml:space="preserve"> </w:t>
      </w:r>
      <w:r w:rsidR="003161C8" w:rsidRPr="003161C8">
        <w:rPr>
          <w:sz w:val="24"/>
          <w:szCs w:val="24"/>
        </w:rPr>
        <w:t xml:space="preserve">należycie uwzględnić </w:t>
      </w:r>
      <w:r w:rsidR="004B05C9">
        <w:rPr>
          <w:sz w:val="24"/>
          <w:szCs w:val="24"/>
        </w:rPr>
        <w:t>k</w:t>
      </w:r>
      <w:r w:rsidR="00AE6B85" w:rsidRPr="002F7D5A">
        <w:rPr>
          <w:sz w:val="24"/>
          <w:szCs w:val="24"/>
        </w:rPr>
        <w:t xml:space="preserve">omentarz </w:t>
      </w:r>
      <w:r w:rsidR="004B05C9">
        <w:rPr>
          <w:sz w:val="24"/>
          <w:szCs w:val="24"/>
        </w:rPr>
        <w:t>o</w:t>
      </w:r>
      <w:r w:rsidR="00AE6B85" w:rsidRPr="002F7D5A">
        <w:rPr>
          <w:sz w:val="24"/>
          <w:szCs w:val="24"/>
        </w:rPr>
        <w:t>gólny</w:t>
      </w:r>
      <w:r w:rsidR="00170C3C" w:rsidRPr="002F7D5A">
        <w:rPr>
          <w:sz w:val="24"/>
          <w:szCs w:val="24"/>
        </w:rPr>
        <w:t xml:space="preserve"> nr 16 w sprawie obowiązków państwa w zakresie oddziaływania sektora </w:t>
      </w:r>
      <w:r w:rsidR="00AE6B85" w:rsidRPr="002F7D5A">
        <w:rPr>
          <w:sz w:val="24"/>
          <w:szCs w:val="24"/>
        </w:rPr>
        <w:t>gospodarczego</w:t>
      </w:r>
      <w:r w:rsidR="00170C3C" w:rsidRPr="002F7D5A">
        <w:rPr>
          <w:sz w:val="24"/>
          <w:szCs w:val="24"/>
        </w:rPr>
        <w:t xml:space="preserve"> na praw</w:t>
      </w:r>
      <w:r w:rsidR="00AE6B85" w:rsidRPr="002F7D5A">
        <w:rPr>
          <w:sz w:val="24"/>
          <w:szCs w:val="24"/>
        </w:rPr>
        <w:t>a dziecka przyjęty</w:t>
      </w:r>
      <w:r w:rsidR="00170C3C" w:rsidRPr="002F7D5A">
        <w:rPr>
          <w:sz w:val="24"/>
          <w:szCs w:val="24"/>
        </w:rPr>
        <w:t xml:space="preserve"> przez Komitet </w:t>
      </w:r>
      <w:r w:rsidR="00AE6B85" w:rsidRPr="002F7D5A">
        <w:rPr>
          <w:sz w:val="24"/>
          <w:szCs w:val="24"/>
        </w:rPr>
        <w:t>ONZ ds. Praw D</w:t>
      </w:r>
      <w:r w:rsidR="00170C3C" w:rsidRPr="002F7D5A">
        <w:rPr>
          <w:sz w:val="24"/>
          <w:szCs w:val="24"/>
        </w:rPr>
        <w:t xml:space="preserve">ziecka. Państwa członkowskie powinny również </w:t>
      </w:r>
      <w:r>
        <w:rPr>
          <w:sz w:val="24"/>
          <w:szCs w:val="24"/>
        </w:rPr>
        <w:t>zwiększyć</w:t>
      </w:r>
      <w:r w:rsidR="00304F65">
        <w:rPr>
          <w:sz w:val="24"/>
          <w:szCs w:val="24"/>
        </w:rPr>
        <w:t xml:space="preserve"> </w:t>
      </w:r>
      <w:r w:rsidR="00170C3C" w:rsidRPr="002F7D5A">
        <w:rPr>
          <w:sz w:val="24"/>
          <w:szCs w:val="24"/>
        </w:rPr>
        <w:t xml:space="preserve">wysiłki </w:t>
      </w:r>
      <w:r>
        <w:rPr>
          <w:sz w:val="24"/>
          <w:szCs w:val="24"/>
        </w:rPr>
        <w:t>na rzecz</w:t>
      </w:r>
      <w:r w:rsidR="00304F65">
        <w:rPr>
          <w:sz w:val="24"/>
          <w:szCs w:val="24"/>
        </w:rPr>
        <w:t xml:space="preserve"> </w:t>
      </w:r>
      <w:r w:rsidR="00170C3C" w:rsidRPr="002F7D5A">
        <w:rPr>
          <w:sz w:val="24"/>
          <w:szCs w:val="24"/>
        </w:rPr>
        <w:t>spełnienia swoich zobowiązań w odniesieniu do dzieci</w:t>
      </w:r>
      <w:r>
        <w:rPr>
          <w:sz w:val="24"/>
          <w:szCs w:val="24"/>
        </w:rPr>
        <w:t>,</w:t>
      </w:r>
      <w:r w:rsidR="00170C3C" w:rsidRPr="002F7D5A">
        <w:rPr>
          <w:sz w:val="24"/>
          <w:szCs w:val="24"/>
        </w:rPr>
        <w:t xml:space="preserve"> w</w:t>
      </w:r>
      <w:r w:rsidR="00234A16" w:rsidRPr="002F7D5A">
        <w:rPr>
          <w:sz w:val="24"/>
          <w:szCs w:val="24"/>
        </w:rPr>
        <w:t xml:space="preserve">ynikających z </w:t>
      </w:r>
      <w:r w:rsidR="00170C3C" w:rsidRPr="002F7D5A">
        <w:rPr>
          <w:sz w:val="24"/>
          <w:szCs w:val="24"/>
        </w:rPr>
        <w:t>Konwencji</w:t>
      </w:r>
      <w:r w:rsidR="00234A16" w:rsidRPr="002F7D5A">
        <w:rPr>
          <w:sz w:val="24"/>
          <w:szCs w:val="24"/>
        </w:rPr>
        <w:t xml:space="preserve"> o ochronie praw człowieka i podstawowych wolności, Europejsk</w:t>
      </w:r>
      <w:r w:rsidR="00126240" w:rsidRPr="002F7D5A">
        <w:rPr>
          <w:sz w:val="24"/>
          <w:szCs w:val="24"/>
        </w:rPr>
        <w:t>iej Karty Społecznej (zrewidowan</w:t>
      </w:r>
      <w:r>
        <w:rPr>
          <w:sz w:val="24"/>
          <w:szCs w:val="24"/>
        </w:rPr>
        <w:t>ej</w:t>
      </w:r>
      <w:r w:rsidR="00234A16" w:rsidRPr="002F7D5A">
        <w:rPr>
          <w:sz w:val="24"/>
          <w:szCs w:val="24"/>
        </w:rPr>
        <w:t>), konwencji</w:t>
      </w:r>
      <w:r w:rsidR="00170C3C" w:rsidRPr="002F7D5A">
        <w:rPr>
          <w:sz w:val="24"/>
          <w:szCs w:val="24"/>
        </w:rPr>
        <w:t xml:space="preserve"> Międzynarod</w:t>
      </w:r>
      <w:r w:rsidR="00234A16" w:rsidRPr="002F7D5A">
        <w:rPr>
          <w:sz w:val="24"/>
          <w:szCs w:val="24"/>
        </w:rPr>
        <w:t>owej Organizacji Pracy dotyczących</w:t>
      </w:r>
      <w:r w:rsidR="00170C3C" w:rsidRPr="002F7D5A">
        <w:rPr>
          <w:sz w:val="24"/>
          <w:szCs w:val="24"/>
        </w:rPr>
        <w:t xml:space="preserve"> pracy dzieci i innych odpowiednich instrumentów międz</w:t>
      </w:r>
      <w:r w:rsidR="00234A16" w:rsidRPr="002F7D5A">
        <w:rPr>
          <w:sz w:val="24"/>
          <w:szCs w:val="24"/>
        </w:rPr>
        <w:t xml:space="preserve">ynarodowych oraz </w:t>
      </w:r>
      <w:r>
        <w:rPr>
          <w:sz w:val="24"/>
          <w:szCs w:val="24"/>
        </w:rPr>
        <w:t>wziąć</w:t>
      </w:r>
      <w:r w:rsidR="00304F65">
        <w:rPr>
          <w:sz w:val="24"/>
          <w:szCs w:val="24"/>
        </w:rPr>
        <w:t xml:space="preserve"> </w:t>
      </w:r>
      <w:r>
        <w:rPr>
          <w:sz w:val="24"/>
          <w:szCs w:val="24"/>
        </w:rPr>
        <w:t>pod</w:t>
      </w:r>
      <w:r w:rsidR="00234A16" w:rsidRPr="002F7D5A">
        <w:rPr>
          <w:sz w:val="24"/>
          <w:szCs w:val="24"/>
        </w:rPr>
        <w:t xml:space="preserve"> uwagę</w:t>
      </w:r>
      <w:r w:rsidR="00304F65">
        <w:rPr>
          <w:sz w:val="24"/>
          <w:szCs w:val="24"/>
        </w:rPr>
        <w:t xml:space="preserve"> </w:t>
      </w:r>
      <w:r w:rsidR="00234A16" w:rsidRPr="002F7D5A">
        <w:rPr>
          <w:sz w:val="24"/>
          <w:szCs w:val="24"/>
        </w:rPr>
        <w:t>Zasady w zakresie prawa</w:t>
      </w:r>
      <w:r w:rsidR="00170C3C" w:rsidRPr="002F7D5A">
        <w:rPr>
          <w:sz w:val="24"/>
          <w:szCs w:val="24"/>
        </w:rPr>
        <w:t xml:space="preserve"> dzieci i</w:t>
      </w:r>
      <w:r w:rsidR="00234A16" w:rsidRPr="002F7D5A">
        <w:rPr>
          <w:sz w:val="24"/>
          <w:szCs w:val="24"/>
        </w:rPr>
        <w:t xml:space="preserve"> przedsiębiorczości</w:t>
      </w:r>
      <w:r w:rsidR="00170C3C" w:rsidRPr="002F7D5A">
        <w:rPr>
          <w:sz w:val="24"/>
          <w:szCs w:val="24"/>
        </w:rPr>
        <w:t xml:space="preserve"> opracowane przez UNICEF, O</w:t>
      </w:r>
      <w:r w:rsidR="00234A16" w:rsidRPr="002F7D5A">
        <w:rPr>
          <w:sz w:val="24"/>
          <w:szCs w:val="24"/>
        </w:rPr>
        <w:t>NZ Global Compact oraz organizację</w:t>
      </w:r>
      <w:r w:rsidR="00170C3C" w:rsidRPr="002F7D5A">
        <w:rPr>
          <w:sz w:val="24"/>
          <w:szCs w:val="24"/>
        </w:rPr>
        <w:t xml:space="preserve"> </w:t>
      </w:r>
      <w:proofErr w:type="spellStart"/>
      <w:r w:rsidR="00170C3C" w:rsidRPr="002F7D5A">
        <w:rPr>
          <w:sz w:val="24"/>
          <w:szCs w:val="24"/>
        </w:rPr>
        <w:t>Save</w:t>
      </w:r>
      <w:proofErr w:type="spellEnd"/>
      <w:r w:rsidR="00170C3C" w:rsidRPr="002F7D5A">
        <w:rPr>
          <w:sz w:val="24"/>
          <w:szCs w:val="24"/>
        </w:rPr>
        <w:t xml:space="preserve"> the </w:t>
      </w:r>
      <w:proofErr w:type="spellStart"/>
      <w:r w:rsidR="00170C3C" w:rsidRPr="002F7D5A">
        <w:rPr>
          <w:sz w:val="24"/>
          <w:szCs w:val="24"/>
        </w:rPr>
        <w:t>Children</w:t>
      </w:r>
      <w:proofErr w:type="spellEnd"/>
      <w:r w:rsidR="00170C3C" w:rsidRPr="002F7D5A">
        <w:rPr>
          <w:sz w:val="24"/>
          <w:szCs w:val="24"/>
        </w:rPr>
        <w:t>.</w:t>
      </w:r>
    </w:p>
    <w:p w:rsidR="00170C3C" w:rsidRPr="002F7D5A" w:rsidRDefault="00234A16" w:rsidP="00E7396B">
      <w:pPr>
        <w:pStyle w:val="Akapitzlist"/>
        <w:numPr>
          <w:ilvl w:val="0"/>
          <w:numId w:val="5"/>
        </w:numPr>
        <w:spacing w:before="120" w:after="120" w:line="240" w:lineRule="auto"/>
        <w:contextualSpacing w:val="0"/>
        <w:jc w:val="both"/>
        <w:rPr>
          <w:sz w:val="24"/>
          <w:szCs w:val="24"/>
        </w:rPr>
      </w:pPr>
      <w:r w:rsidRPr="002F7D5A">
        <w:rPr>
          <w:sz w:val="24"/>
          <w:szCs w:val="24"/>
        </w:rPr>
        <w:t>Państwa członkowskie powinny angażować</w:t>
      </w:r>
      <w:r w:rsidR="00170C3C" w:rsidRPr="002F7D5A">
        <w:rPr>
          <w:sz w:val="24"/>
          <w:szCs w:val="24"/>
        </w:rPr>
        <w:t xml:space="preserve"> wszystkie zaint</w:t>
      </w:r>
      <w:r w:rsidRPr="002F7D5A">
        <w:rPr>
          <w:sz w:val="24"/>
          <w:szCs w:val="24"/>
        </w:rPr>
        <w:t xml:space="preserve">eresowane strony w opracowywanie i wdrażanie </w:t>
      </w:r>
      <w:r w:rsidR="00635937">
        <w:rPr>
          <w:sz w:val="24"/>
          <w:szCs w:val="24"/>
        </w:rPr>
        <w:t xml:space="preserve">strategii </w:t>
      </w:r>
      <w:r w:rsidR="00170C3C" w:rsidRPr="002F7D5A">
        <w:rPr>
          <w:sz w:val="24"/>
          <w:szCs w:val="24"/>
        </w:rPr>
        <w:t>w sprawac</w:t>
      </w:r>
      <w:r w:rsidRPr="002F7D5A">
        <w:rPr>
          <w:sz w:val="24"/>
          <w:szCs w:val="24"/>
        </w:rPr>
        <w:t>h, które są szczeg</w:t>
      </w:r>
      <w:r w:rsidR="00202B40" w:rsidRPr="002F7D5A">
        <w:rPr>
          <w:sz w:val="24"/>
          <w:szCs w:val="24"/>
        </w:rPr>
        <w:t>ólnie istotne z punktu widzenia</w:t>
      </w:r>
      <w:r w:rsidR="00170C3C" w:rsidRPr="002F7D5A">
        <w:rPr>
          <w:sz w:val="24"/>
          <w:szCs w:val="24"/>
        </w:rPr>
        <w:t xml:space="preserve"> </w:t>
      </w:r>
      <w:r w:rsidRPr="002F7D5A">
        <w:rPr>
          <w:sz w:val="24"/>
          <w:szCs w:val="24"/>
        </w:rPr>
        <w:t>praw dziecka</w:t>
      </w:r>
      <w:r w:rsidR="00170C3C" w:rsidRPr="002F7D5A">
        <w:rPr>
          <w:sz w:val="24"/>
          <w:szCs w:val="24"/>
        </w:rPr>
        <w:t>, takich jak środki przewidziane w Konwencji o ochronie dzieci przed seksualnym wykorzystywaniem i niegodziwym traktowaniem w celach seksualnych.</w:t>
      </w:r>
    </w:p>
    <w:p w:rsidR="00170C3C" w:rsidRPr="002F7D5A" w:rsidRDefault="00170C3C" w:rsidP="00E7396B">
      <w:pPr>
        <w:pStyle w:val="Akapitzlist"/>
        <w:numPr>
          <w:ilvl w:val="0"/>
          <w:numId w:val="5"/>
        </w:numPr>
        <w:spacing w:before="120" w:after="120" w:line="240" w:lineRule="auto"/>
        <w:contextualSpacing w:val="0"/>
        <w:jc w:val="both"/>
        <w:rPr>
          <w:sz w:val="24"/>
          <w:szCs w:val="24"/>
        </w:rPr>
      </w:pPr>
      <w:r w:rsidRPr="002F7D5A">
        <w:rPr>
          <w:sz w:val="24"/>
          <w:szCs w:val="24"/>
        </w:rPr>
        <w:t xml:space="preserve">Uznając, że dzieci często nie mają dostępu do istotnych informacji oraz napotykają na szczególne trudności w </w:t>
      </w:r>
      <w:r w:rsidR="00202B40" w:rsidRPr="002F7D5A">
        <w:rPr>
          <w:sz w:val="24"/>
          <w:szCs w:val="24"/>
        </w:rPr>
        <w:t>korzystaniu z</w:t>
      </w:r>
      <w:r w:rsidRPr="002F7D5A">
        <w:rPr>
          <w:sz w:val="24"/>
          <w:szCs w:val="24"/>
        </w:rPr>
        <w:t xml:space="preserve"> ich prawa do bycia wysłuchanym, państwa członkowskie powinny w szczególności:</w:t>
      </w:r>
    </w:p>
    <w:p w:rsidR="00170C3C" w:rsidRPr="002F7D5A" w:rsidRDefault="00170C3C" w:rsidP="00E7396B">
      <w:pPr>
        <w:pStyle w:val="Akapitzlist"/>
        <w:numPr>
          <w:ilvl w:val="0"/>
          <w:numId w:val="14"/>
        </w:numPr>
        <w:spacing w:before="120" w:after="120" w:line="240" w:lineRule="auto"/>
        <w:contextualSpacing w:val="0"/>
        <w:jc w:val="both"/>
        <w:rPr>
          <w:sz w:val="24"/>
          <w:szCs w:val="24"/>
        </w:rPr>
      </w:pPr>
      <w:r w:rsidRPr="002F7D5A">
        <w:rPr>
          <w:sz w:val="24"/>
          <w:szCs w:val="24"/>
        </w:rPr>
        <w:t xml:space="preserve">zachęcać </w:t>
      </w:r>
      <w:r w:rsidR="002C7A2B">
        <w:rPr>
          <w:sz w:val="24"/>
          <w:szCs w:val="24"/>
        </w:rPr>
        <w:t xml:space="preserve">przedsiębiorstwa </w:t>
      </w:r>
      <w:r w:rsidRPr="002F7D5A">
        <w:rPr>
          <w:sz w:val="24"/>
          <w:szCs w:val="24"/>
        </w:rPr>
        <w:t>lub, w razie potrzeby, wymagać</w:t>
      </w:r>
      <w:r w:rsidR="002C7A2B">
        <w:rPr>
          <w:sz w:val="24"/>
          <w:szCs w:val="24"/>
        </w:rPr>
        <w:t xml:space="preserve"> od nich</w:t>
      </w:r>
      <w:r w:rsidR="009E7139">
        <w:rPr>
          <w:sz w:val="24"/>
          <w:szCs w:val="24"/>
        </w:rPr>
        <w:t xml:space="preserve"> </w:t>
      </w:r>
      <w:r w:rsidR="00202B40" w:rsidRPr="002F7D5A">
        <w:rPr>
          <w:sz w:val="24"/>
          <w:szCs w:val="24"/>
        </w:rPr>
        <w:t>wyraźn</w:t>
      </w:r>
      <w:r w:rsidR="002C7A2B">
        <w:rPr>
          <w:sz w:val="24"/>
          <w:szCs w:val="24"/>
        </w:rPr>
        <w:t>ego</w:t>
      </w:r>
      <w:r w:rsidR="00202B40" w:rsidRPr="002F7D5A">
        <w:rPr>
          <w:sz w:val="24"/>
          <w:szCs w:val="24"/>
        </w:rPr>
        <w:t xml:space="preserve"> </w:t>
      </w:r>
      <w:r w:rsidR="005210EF" w:rsidRPr="002F7D5A">
        <w:rPr>
          <w:sz w:val="24"/>
          <w:szCs w:val="24"/>
        </w:rPr>
        <w:t>uwzględni</w:t>
      </w:r>
      <w:r w:rsidR="002C7A2B">
        <w:rPr>
          <w:sz w:val="24"/>
          <w:szCs w:val="24"/>
        </w:rPr>
        <w:t>enia</w:t>
      </w:r>
      <w:r w:rsidRPr="002F7D5A">
        <w:rPr>
          <w:sz w:val="24"/>
          <w:szCs w:val="24"/>
        </w:rPr>
        <w:t xml:space="preserve"> praw dziecka przy wykonywaniu </w:t>
      </w:r>
      <w:r w:rsidR="00202B40" w:rsidRPr="002F7D5A">
        <w:rPr>
          <w:sz w:val="24"/>
          <w:szCs w:val="24"/>
        </w:rPr>
        <w:t xml:space="preserve">procesu </w:t>
      </w:r>
      <w:r w:rsidRPr="002F7D5A">
        <w:rPr>
          <w:sz w:val="24"/>
          <w:szCs w:val="24"/>
        </w:rPr>
        <w:t>należytej staranności</w:t>
      </w:r>
      <w:r w:rsidR="005210EF" w:rsidRPr="002F7D5A">
        <w:rPr>
          <w:sz w:val="24"/>
          <w:szCs w:val="24"/>
        </w:rPr>
        <w:t xml:space="preserve"> w zakresie praw człowieka</w:t>
      </w:r>
      <w:r w:rsidRPr="002F7D5A">
        <w:rPr>
          <w:sz w:val="24"/>
          <w:szCs w:val="24"/>
        </w:rPr>
        <w:t>;</w:t>
      </w:r>
    </w:p>
    <w:p w:rsidR="00170C3C" w:rsidRPr="002F7D5A" w:rsidRDefault="001472F0" w:rsidP="00E7396B">
      <w:pPr>
        <w:pStyle w:val="Akapitzlist"/>
        <w:numPr>
          <w:ilvl w:val="0"/>
          <w:numId w:val="14"/>
        </w:numPr>
        <w:spacing w:before="120" w:after="120" w:line="240" w:lineRule="auto"/>
        <w:contextualSpacing w:val="0"/>
        <w:jc w:val="both"/>
        <w:rPr>
          <w:sz w:val="24"/>
          <w:szCs w:val="24"/>
        </w:rPr>
      </w:pPr>
      <w:r>
        <w:rPr>
          <w:sz w:val="24"/>
          <w:szCs w:val="24"/>
        </w:rPr>
        <w:t>wdrożyć</w:t>
      </w:r>
      <w:r w:rsidRPr="002F7D5A">
        <w:rPr>
          <w:sz w:val="24"/>
          <w:szCs w:val="24"/>
        </w:rPr>
        <w:t xml:space="preserve"> </w:t>
      </w:r>
      <w:r>
        <w:rPr>
          <w:sz w:val="24"/>
          <w:szCs w:val="24"/>
        </w:rPr>
        <w:t xml:space="preserve">działania mające na </w:t>
      </w:r>
      <w:r w:rsidR="00170C3C" w:rsidRPr="002F7D5A">
        <w:rPr>
          <w:sz w:val="24"/>
          <w:szCs w:val="24"/>
        </w:rPr>
        <w:t>celu usunięci</w:t>
      </w:r>
      <w:r>
        <w:rPr>
          <w:sz w:val="24"/>
          <w:szCs w:val="24"/>
        </w:rPr>
        <w:t>e</w:t>
      </w:r>
      <w:r w:rsidR="004D1A2F" w:rsidRPr="002F7D5A">
        <w:rPr>
          <w:sz w:val="24"/>
          <w:szCs w:val="24"/>
        </w:rPr>
        <w:t xml:space="preserve"> społecznych, gospodarczych i prawnych barier</w:t>
      </w:r>
      <w:r w:rsidR="00635937">
        <w:rPr>
          <w:sz w:val="24"/>
          <w:szCs w:val="24"/>
        </w:rPr>
        <w:t xml:space="preserve"> w dostępie</w:t>
      </w:r>
      <w:r w:rsidR="00011623">
        <w:rPr>
          <w:sz w:val="24"/>
          <w:szCs w:val="24"/>
        </w:rPr>
        <w:t xml:space="preserve"> </w:t>
      </w:r>
      <w:r w:rsidR="00170C3C" w:rsidRPr="002F7D5A">
        <w:rPr>
          <w:sz w:val="24"/>
          <w:szCs w:val="24"/>
        </w:rPr>
        <w:t xml:space="preserve">dzieci do skutecznych </w:t>
      </w:r>
      <w:r w:rsidR="00635937">
        <w:rPr>
          <w:sz w:val="24"/>
          <w:szCs w:val="24"/>
        </w:rPr>
        <w:t xml:space="preserve">mechanizmów </w:t>
      </w:r>
      <w:r w:rsidR="00170C3C" w:rsidRPr="002F7D5A">
        <w:rPr>
          <w:sz w:val="24"/>
          <w:szCs w:val="24"/>
        </w:rPr>
        <w:t>sądowych i państwowych</w:t>
      </w:r>
      <w:r w:rsidR="00635937" w:rsidRPr="00635937">
        <w:t xml:space="preserve"> </w:t>
      </w:r>
      <w:r w:rsidR="00635937" w:rsidRPr="00635937">
        <w:rPr>
          <w:sz w:val="24"/>
          <w:szCs w:val="24"/>
        </w:rPr>
        <w:t>mechanizmów</w:t>
      </w:r>
      <w:r w:rsidR="00170C3C" w:rsidRPr="002F7D5A">
        <w:rPr>
          <w:sz w:val="24"/>
          <w:szCs w:val="24"/>
        </w:rPr>
        <w:t xml:space="preserve"> pozasądowych</w:t>
      </w:r>
      <w:r w:rsidR="00505C18" w:rsidRPr="002F7D5A">
        <w:rPr>
          <w:sz w:val="24"/>
          <w:szCs w:val="24"/>
        </w:rPr>
        <w:t xml:space="preserve"> </w:t>
      </w:r>
      <w:r w:rsidR="00170C3C" w:rsidRPr="002F7D5A">
        <w:rPr>
          <w:sz w:val="24"/>
          <w:szCs w:val="24"/>
        </w:rPr>
        <w:t>bez jakiejko</w:t>
      </w:r>
      <w:r w:rsidR="00202B40" w:rsidRPr="002F7D5A">
        <w:rPr>
          <w:sz w:val="24"/>
          <w:szCs w:val="24"/>
        </w:rPr>
        <w:t>lwiek dyskryminacji, zgodnie z W</w:t>
      </w:r>
      <w:r w:rsidR="00170C3C" w:rsidRPr="002F7D5A">
        <w:rPr>
          <w:sz w:val="24"/>
          <w:szCs w:val="24"/>
        </w:rPr>
        <w:t xml:space="preserve">ytycznymi Komitetu Ministrów Rady Europy w sprawie </w:t>
      </w:r>
      <w:r w:rsidR="00505C18" w:rsidRPr="002F7D5A">
        <w:rPr>
          <w:sz w:val="24"/>
          <w:szCs w:val="24"/>
        </w:rPr>
        <w:t>wymiaru sprawiedliwości przyjaznego dziecku</w:t>
      </w:r>
      <w:r w:rsidR="00170C3C" w:rsidRPr="002F7D5A">
        <w:rPr>
          <w:sz w:val="24"/>
          <w:szCs w:val="24"/>
        </w:rPr>
        <w:t>;</w:t>
      </w:r>
    </w:p>
    <w:p w:rsidR="00170C3C" w:rsidRDefault="00202B40" w:rsidP="00E7396B">
      <w:pPr>
        <w:pStyle w:val="Akapitzlist"/>
        <w:numPr>
          <w:ilvl w:val="0"/>
          <w:numId w:val="14"/>
        </w:numPr>
        <w:spacing w:before="120" w:after="120" w:line="240" w:lineRule="auto"/>
        <w:contextualSpacing w:val="0"/>
        <w:jc w:val="both"/>
        <w:rPr>
          <w:sz w:val="24"/>
          <w:szCs w:val="24"/>
        </w:rPr>
      </w:pPr>
      <w:r w:rsidRPr="002F7D5A">
        <w:rPr>
          <w:sz w:val="24"/>
          <w:szCs w:val="24"/>
        </w:rPr>
        <w:t>wyraźnie</w:t>
      </w:r>
      <w:r w:rsidR="00505C18" w:rsidRPr="002F7D5A">
        <w:rPr>
          <w:sz w:val="24"/>
          <w:szCs w:val="24"/>
        </w:rPr>
        <w:t xml:space="preserve"> </w:t>
      </w:r>
      <w:r w:rsidR="00170C3C" w:rsidRPr="002F7D5A">
        <w:rPr>
          <w:sz w:val="24"/>
          <w:szCs w:val="24"/>
        </w:rPr>
        <w:t>uwz</w:t>
      </w:r>
      <w:r w:rsidR="00505C18" w:rsidRPr="002F7D5A">
        <w:rPr>
          <w:sz w:val="24"/>
          <w:szCs w:val="24"/>
        </w:rPr>
        <w:t>ględnić prawa dzieci w swoich Krajowych Planach D</w:t>
      </w:r>
      <w:r w:rsidR="00170C3C" w:rsidRPr="002F7D5A">
        <w:rPr>
          <w:sz w:val="24"/>
          <w:szCs w:val="24"/>
        </w:rPr>
        <w:t>ziałania.</w:t>
      </w:r>
    </w:p>
    <w:p w:rsidR="004E424E" w:rsidRDefault="004E424E" w:rsidP="00E7396B">
      <w:pPr>
        <w:pStyle w:val="Akapitzlist"/>
        <w:spacing w:before="120" w:after="120" w:line="240" w:lineRule="auto"/>
        <w:ind w:left="1287"/>
        <w:contextualSpacing w:val="0"/>
        <w:jc w:val="both"/>
        <w:rPr>
          <w:sz w:val="24"/>
          <w:szCs w:val="24"/>
        </w:rPr>
      </w:pPr>
    </w:p>
    <w:p w:rsidR="00CC4C64" w:rsidRDefault="00CC4C64" w:rsidP="00E7396B">
      <w:pPr>
        <w:pStyle w:val="Akapitzlist"/>
        <w:spacing w:before="120" w:after="120" w:line="240" w:lineRule="auto"/>
        <w:ind w:left="1287"/>
        <w:contextualSpacing w:val="0"/>
        <w:jc w:val="both"/>
        <w:rPr>
          <w:sz w:val="24"/>
          <w:szCs w:val="24"/>
        </w:rPr>
      </w:pPr>
    </w:p>
    <w:p w:rsidR="00CC4C64" w:rsidRPr="002F7D5A" w:rsidRDefault="00CC4C64" w:rsidP="00E7396B">
      <w:pPr>
        <w:pStyle w:val="Akapitzlist"/>
        <w:spacing w:before="120" w:after="120" w:line="240" w:lineRule="auto"/>
        <w:ind w:left="1287"/>
        <w:contextualSpacing w:val="0"/>
        <w:jc w:val="both"/>
        <w:rPr>
          <w:sz w:val="24"/>
          <w:szCs w:val="24"/>
        </w:rPr>
      </w:pPr>
    </w:p>
    <w:p w:rsidR="00170C3C" w:rsidRDefault="00170C3C" w:rsidP="00E7396B">
      <w:pPr>
        <w:pStyle w:val="Akapitzlist"/>
        <w:numPr>
          <w:ilvl w:val="0"/>
          <w:numId w:val="3"/>
        </w:numPr>
        <w:spacing w:before="120" w:after="120" w:line="240" w:lineRule="auto"/>
        <w:ind w:left="993" w:hanging="273"/>
        <w:contextualSpacing w:val="0"/>
        <w:jc w:val="both"/>
        <w:rPr>
          <w:b/>
          <w:sz w:val="24"/>
          <w:szCs w:val="24"/>
        </w:rPr>
      </w:pPr>
      <w:r w:rsidRPr="002F7D5A">
        <w:rPr>
          <w:b/>
          <w:sz w:val="24"/>
          <w:szCs w:val="24"/>
        </w:rPr>
        <w:lastRenderedPageBreak/>
        <w:t>Dodatkowa ochrona rdzennej ludności</w:t>
      </w:r>
    </w:p>
    <w:p w:rsidR="00E7396B" w:rsidRPr="002F7D5A" w:rsidRDefault="00E7396B" w:rsidP="00E7396B">
      <w:pPr>
        <w:pStyle w:val="Akapitzlist"/>
        <w:spacing w:before="120" w:after="120" w:line="240" w:lineRule="auto"/>
        <w:ind w:left="993"/>
        <w:contextualSpacing w:val="0"/>
        <w:jc w:val="both"/>
        <w:rPr>
          <w:b/>
          <w:sz w:val="24"/>
          <w:szCs w:val="24"/>
        </w:rPr>
      </w:pPr>
    </w:p>
    <w:p w:rsidR="00170C3C" w:rsidRPr="002F7D5A" w:rsidRDefault="00170C3C" w:rsidP="00E7396B">
      <w:pPr>
        <w:pStyle w:val="Akapitzlist"/>
        <w:numPr>
          <w:ilvl w:val="0"/>
          <w:numId w:val="5"/>
        </w:numPr>
        <w:spacing w:before="120" w:after="120" w:line="240" w:lineRule="auto"/>
        <w:contextualSpacing w:val="0"/>
        <w:jc w:val="both"/>
        <w:rPr>
          <w:sz w:val="24"/>
          <w:szCs w:val="24"/>
        </w:rPr>
      </w:pPr>
      <w:r w:rsidRPr="002F7D5A">
        <w:rPr>
          <w:sz w:val="24"/>
          <w:szCs w:val="24"/>
        </w:rPr>
        <w:t xml:space="preserve">Państwa członkowskie powinny wymagać od przedsiębiorstw poszanowania praw rdzennej ludności, zgodnie z międzynarodowymi standardami, jeśli działają w </w:t>
      </w:r>
      <w:r w:rsidR="00202B40" w:rsidRPr="002F7D5A">
        <w:rPr>
          <w:sz w:val="24"/>
          <w:szCs w:val="24"/>
        </w:rPr>
        <w:t xml:space="preserve">obrębie </w:t>
      </w:r>
      <w:r w:rsidRPr="002F7D5A">
        <w:rPr>
          <w:sz w:val="24"/>
          <w:szCs w:val="24"/>
        </w:rPr>
        <w:t>ich jurysdykcji terytorialnej oraz, w stosow</w:t>
      </w:r>
      <w:r w:rsidR="009B00CE" w:rsidRPr="002F7D5A">
        <w:rPr>
          <w:sz w:val="24"/>
          <w:szCs w:val="24"/>
        </w:rPr>
        <w:t xml:space="preserve">nych przypadkach, </w:t>
      </w:r>
      <w:r w:rsidR="005D03C7" w:rsidRPr="005D03C7">
        <w:rPr>
          <w:sz w:val="24"/>
          <w:szCs w:val="24"/>
        </w:rPr>
        <w:t>w całej działalności prowadzonej za granicą</w:t>
      </w:r>
      <w:r w:rsidRPr="002F7D5A">
        <w:rPr>
          <w:sz w:val="24"/>
          <w:szCs w:val="24"/>
        </w:rPr>
        <w:t xml:space="preserve">, gdy </w:t>
      </w:r>
      <w:r w:rsidR="009B00CE" w:rsidRPr="002F7D5A">
        <w:rPr>
          <w:sz w:val="24"/>
          <w:szCs w:val="24"/>
        </w:rPr>
        <w:t xml:space="preserve">mają siedzibę </w:t>
      </w:r>
      <w:r w:rsidRPr="002F7D5A">
        <w:rPr>
          <w:sz w:val="24"/>
          <w:szCs w:val="24"/>
        </w:rPr>
        <w:t>w</w:t>
      </w:r>
      <w:r w:rsidR="009B00CE" w:rsidRPr="002F7D5A">
        <w:rPr>
          <w:sz w:val="24"/>
          <w:szCs w:val="24"/>
        </w:rPr>
        <w:t xml:space="preserve"> </w:t>
      </w:r>
      <w:r w:rsidR="005D03C7">
        <w:rPr>
          <w:sz w:val="24"/>
          <w:szCs w:val="24"/>
        </w:rPr>
        <w:t>obrębie</w:t>
      </w:r>
      <w:r w:rsidRPr="002F7D5A">
        <w:rPr>
          <w:sz w:val="24"/>
          <w:szCs w:val="24"/>
        </w:rPr>
        <w:t xml:space="preserve"> ich jurysdykcji.</w:t>
      </w:r>
    </w:p>
    <w:p w:rsidR="00130317" w:rsidRPr="002F7D5A" w:rsidRDefault="00130317" w:rsidP="00E7396B">
      <w:pPr>
        <w:pStyle w:val="Akapitzlist"/>
        <w:numPr>
          <w:ilvl w:val="0"/>
          <w:numId w:val="5"/>
        </w:numPr>
        <w:spacing w:before="120" w:after="120" w:line="240" w:lineRule="auto"/>
        <w:contextualSpacing w:val="0"/>
        <w:jc w:val="both"/>
        <w:rPr>
          <w:sz w:val="24"/>
          <w:szCs w:val="24"/>
        </w:rPr>
      </w:pPr>
      <w:r w:rsidRPr="002F7D5A">
        <w:rPr>
          <w:sz w:val="24"/>
          <w:szCs w:val="24"/>
        </w:rPr>
        <w:t xml:space="preserve">Państwa członkowskie powinny </w:t>
      </w:r>
      <w:r w:rsidR="001472F0">
        <w:rPr>
          <w:sz w:val="24"/>
          <w:szCs w:val="24"/>
        </w:rPr>
        <w:t>zwiększyć</w:t>
      </w:r>
      <w:r w:rsidR="001472F0" w:rsidRPr="002F7D5A">
        <w:rPr>
          <w:sz w:val="24"/>
          <w:szCs w:val="24"/>
        </w:rPr>
        <w:t xml:space="preserve"> </w:t>
      </w:r>
      <w:r w:rsidRPr="002F7D5A">
        <w:rPr>
          <w:sz w:val="24"/>
          <w:szCs w:val="24"/>
        </w:rPr>
        <w:t xml:space="preserve">wysiłki w celu spełnienia swoich zobowiązań w odniesieniu do </w:t>
      </w:r>
      <w:r w:rsidR="00F8748D" w:rsidRPr="002F7D5A">
        <w:rPr>
          <w:sz w:val="24"/>
          <w:szCs w:val="24"/>
        </w:rPr>
        <w:t>biznesu i praw rdzennej ludności</w:t>
      </w:r>
      <w:r w:rsidRPr="002F7D5A">
        <w:rPr>
          <w:sz w:val="24"/>
          <w:szCs w:val="24"/>
        </w:rPr>
        <w:t xml:space="preserve"> </w:t>
      </w:r>
      <w:r w:rsidR="00F8748D" w:rsidRPr="002F7D5A">
        <w:rPr>
          <w:sz w:val="24"/>
          <w:szCs w:val="24"/>
        </w:rPr>
        <w:t>wynikających z</w:t>
      </w:r>
      <w:r w:rsidRPr="002F7D5A">
        <w:rPr>
          <w:sz w:val="24"/>
          <w:szCs w:val="24"/>
        </w:rPr>
        <w:t xml:space="preserve"> Deklaracji ONZ o prawach ludności rdzennej z dnia 13 września 2007</w:t>
      </w:r>
      <w:r w:rsidR="00F8748D" w:rsidRPr="002F7D5A">
        <w:rPr>
          <w:sz w:val="24"/>
          <w:szCs w:val="24"/>
        </w:rPr>
        <w:t xml:space="preserve"> r.</w:t>
      </w:r>
      <w:r w:rsidR="00202B40" w:rsidRPr="002F7D5A">
        <w:rPr>
          <w:sz w:val="24"/>
          <w:szCs w:val="24"/>
        </w:rPr>
        <w:t>, Konwencji</w:t>
      </w:r>
      <w:r w:rsidRPr="002F7D5A">
        <w:rPr>
          <w:sz w:val="24"/>
          <w:szCs w:val="24"/>
        </w:rPr>
        <w:t xml:space="preserve"> MOP nr 169 dotyczącej ludności </w:t>
      </w:r>
      <w:r w:rsidR="00F8748D" w:rsidRPr="002F7D5A">
        <w:rPr>
          <w:sz w:val="24"/>
          <w:szCs w:val="24"/>
        </w:rPr>
        <w:t>rdzennej</w:t>
      </w:r>
      <w:r w:rsidRPr="002F7D5A">
        <w:rPr>
          <w:sz w:val="24"/>
          <w:szCs w:val="24"/>
        </w:rPr>
        <w:t xml:space="preserve"> </w:t>
      </w:r>
      <w:r w:rsidR="00F8748D" w:rsidRPr="002F7D5A">
        <w:rPr>
          <w:sz w:val="24"/>
          <w:szCs w:val="24"/>
        </w:rPr>
        <w:t xml:space="preserve">i </w:t>
      </w:r>
      <w:r w:rsidRPr="002F7D5A">
        <w:rPr>
          <w:sz w:val="24"/>
          <w:szCs w:val="24"/>
        </w:rPr>
        <w:t>plem</w:t>
      </w:r>
      <w:r w:rsidR="00F8748D" w:rsidRPr="002F7D5A">
        <w:rPr>
          <w:sz w:val="24"/>
          <w:szCs w:val="24"/>
        </w:rPr>
        <w:t>iennej w krajach niezależnych z dnia 27 czerwca</w:t>
      </w:r>
      <w:r w:rsidRPr="002F7D5A">
        <w:rPr>
          <w:sz w:val="24"/>
          <w:szCs w:val="24"/>
        </w:rPr>
        <w:t xml:space="preserve"> 1989</w:t>
      </w:r>
      <w:r w:rsidR="00F8748D" w:rsidRPr="002F7D5A">
        <w:rPr>
          <w:sz w:val="24"/>
          <w:szCs w:val="24"/>
        </w:rPr>
        <w:t xml:space="preserve"> r., a także </w:t>
      </w:r>
      <w:r w:rsidR="001472F0">
        <w:rPr>
          <w:sz w:val="24"/>
          <w:szCs w:val="24"/>
        </w:rPr>
        <w:t xml:space="preserve">z </w:t>
      </w:r>
      <w:r w:rsidR="00F8748D" w:rsidRPr="002F7D5A">
        <w:rPr>
          <w:sz w:val="24"/>
          <w:szCs w:val="24"/>
        </w:rPr>
        <w:t>wszelkich innych instrumentów międzynarodowych, które</w:t>
      </w:r>
      <w:r w:rsidRPr="002F7D5A">
        <w:rPr>
          <w:sz w:val="24"/>
          <w:szCs w:val="24"/>
        </w:rPr>
        <w:t xml:space="preserve"> chroni</w:t>
      </w:r>
      <w:r w:rsidR="00F8748D" w:rsidRPr="002F7D5A">
        <w:rPr>
          <w:sz w:val="24"/>
          <w:szCs w:val="24"/>
        </w:rPr>
        <w:t>ą prawa i kulturę rdzennej ludności</w:t>
      </w:r>
      <w:r w:rsidRPr="002F7D5A">
        <w:rPr>
          <w:sz w:val="24"/>
          <w:szCs w:val="24"/>
        </w:rPr>
        <w:t>.</w:t>
      </w:r>
    </w:p>
    <w:p w:rsidR="00130317" w:rsidRPr="002F7D5A" w:rsidRDefault="00130317" w:rsidP="00E7396B">
      <w:pPr>
        <w:pStyle w:val="Akapitzlist"/>
        <w:numPr>
          <w:ilvl w:val="0"/>
          <w:numId w:val="5"/>
        </w:numPr>
        <w:spacing w:before="120" w:after="120" w:line="240" w:lineRule="auto"/>
        <w:contextualSpacing w:val="0"/>
        <w:jc w:val="both"/>
        <w:rPr>
          <w:sz w:val="24"/>
          <w:szCs w:val="24"/>
        </w:rPr>
      </w:pPr>
      <w:r w:rsidRPr="002F7D5A">
        <w:rPr>
          <w:sz w:val="24"/>
          <w:szCs w:val="24"/>
        </w:rPr>
        <w:t xml:space="preserve">Państwa członkowskie powinny stosować takie środki ustawodawcze i inne, jakie mogą okazać się konieczne, aby zachęcić lub, w miarę potrzeby, </w:t>
      </w:r>
      <w:r w:rsidR="003E4F9A" w:rsidRPr="002F7D5A">
        <w:rPr>
          <w:sz w:val="24"/>
          <w:szCs w:val="24"/>
        </w:rPr>
        <w:t>wymagać od</w:t>
      </w:r>
      <w:r w:rsidRPr="002F7D5A">
        <w:rPr>
          <w:sz w:val="24"/>
          <w:szCs w:val="24"/>
        </w:rPr>
        <w:t xml:space="preserve"> przedsiębiorstw mających </w:t>
      </w:r>
      <w:r w:rsidR="003E4F9A" w:rsidRPr="002F7D5A">
        <w:rPr>
          <w:sz w:val="24"/>
          <w:szCs w:val="24"/>
        </w:rPr>
        <w:t xml:space="preserve">siedzibę w </w:t>
      </w:r>
      <w:r w:rsidR="00202B40" w:rsidRPr="002F7D5A">
        <w:rPr>
          <w:sz w:val="24"/>
          <w:szCs w:val="24"/>
        </w:rPr>
        <w:t>obrębie</w:t>
      </w:r>
      <w:r w:rsidRPr="002F7D5A">
        <w:rPr>
          <w:sz w:val="24"/>
          <w:szCs w:val="24"/>
        </w:rPr>
        <w:t xml:space="preserve"> ich jurysdykcji do:</w:t>
      </w:r>
    </w:p>
    <w:p w:rsidR="00130317" w:rsidRPr="002F7D5A" w:rsidRDefault="003E4F9A" w:rsidP="00E7396B">
      <w:pPr>
        <w:pStyle w:val="Akapitzlist"/>
        <w:numPr>
          <w:ilvl w:val="0"/>
          <w:numId w:val="15"/>
        </w:numPr>
        <w:spacing w:before="120" w:after="120" w:line="240" w:lineRule="auto"/>
        <w:contextualSpacing w:val="0"/>
        <w:jc w:val="both"/>
        <w:rPr>
          <w:sz w:val="24"/>
          <w:szCs w:val="24"/>
        </w:rPr>
      </w:pPr>
      <w:r w:rsidRPr="002F7D5A">
        <w:rPr>
          <w:sz w:val="24"/>
          <w:szCs w:val="24"/>
        </w:rPr>
        <w:t>poszanowania</w:t>
      </w:r>
      <w:r w:rsidR="00130317" w:rsidRPr="002F7D5A">
        <w:rPr>
          <w:sz w:val="24"/>
          <w:szCs w:val="24"/>
        </w:rPr>
        <w:t xml:space="preserve"> praw i interesów ludności rdzennej; i</w:t>
      </w:r>
    </w:p>
    <w:p w:rsidR="00130317" w:rsidRPr="002F7D5A" w:rsidRDefault="003E4F9A" w:rsidP="00E7396B">
      <w:pPr>
        <w:pStyle w:val="Akapitzlist"/>
        <w:numPr>
          <w:ilvl w:val="0"/>
          <w:numId w:val="15"/>
        </w:numPr>
        <w:spacing w:before="120" w:after="120" w:line="240" w:lineRule="auto"/>
        <w:contextualSpacing w:val="0"/>
        <w:jc w:val="both"/>
        <w:rPr>
          <w:sz w:val="24"/>
          <w:szCs w:val="24"/>
        </w:rPr>
      </w:pPr>
      <w:r w:rsidRPr="002F7D5A">
        <w:rPr>
          <w:sz w:val="24"/>
          <w:szCs w:val="24"/>
        </w:rPr>
        <w:t>konsultowania i współpracowania</w:t>
      </w:r>
      <w:r w:rsidR="00BC3201" w:rsidRPr="002F7D5A">
        <w:rPr>
          <w:sz w:val="24"/>
          <w:szCs w:val="24"/>
        </w:rPr>
        <w:t xml:space="preserve"> w dobrej wierze w celu uzyskania ich swobodnej i świadomej zgody przed zatwierdzeniem każdego projektu wpływając</w:t>
      </w:r>
      <w:r w:rsidRPr="002F7D5A">
        <w:rPr>
          <w:sz w:val="24"/>
          <w:szCs w:val="24"/>
        </w:rPr>
        <w:t>ych na ich ziemie lub terytoria i inne zasoby</w:t>
      </w:r>
      <w:r w:rsidR="00BC3201" w:rsidRPr="002F7D5A">
        <w:rPr>
          <w:sz w:val="24"/>
          <w:szCs w:val="24"/>
        </w:rPr>
        <w:t>, w szczególności w związku z rozwojem, u</w:t>
      </w:r>
      <w:r w:rsidRPr="002F7D5A">
        <w:rPr>
          <w:sz w:val="24"/>
          <w:szCs w:val="24"/>
        </w:rPr>
        <w:t>żytkowaniem lub eksploatacją złóż mineralnych</w:t>
      </w:r>
      <w:r w:rsidR="00BC3201" w:rsidRPr="002F7D5A">
        <w:rPr>
          <w:sz w:val="24"/>
          <w:szCs w:val="24"/>
        </w:rPr>
        <w:t>, wody lub innych zasobów,</w:t>
      </w:r>
    </w:p>
    <w:p w:rsidR="00BC3201" w:rsidRPr="002F7D5A" w:rsidRDefault="00BC3201" w:rsidP="00E7396B">
      <w:pPr>
        <w:spacing w:before="120" w:after="120" w:line="240" w:lineRule="auto"/>
        <w:ind w:left="993"/>
        <w:jc w:val="both"/>
        <w:rPr>
          <w:sz w:val="24"/>
          <w:szCs w:val="24"/>
        </w:rPr>
      </w:pPr>
      <w:r w:rsidRPr="002F7D5A">
        <w:rPr>
          <w:sz w:val="24"/>
          <w:szCs w:val="24"/>
        </w:rPr>
        <w:t xml:space="preserve">W odniesieniu do przedsiębiorstw prowadzących znaczną część działalności w ramach ich jurysdykcji, państwa członkowskie powinny stosować </w:t>
      </w:r>
      <w:r w:rsidR="003E4F9A" w:rsidRPr="002F7D5A">
        <w:rPr>
          <w:sz w:val="24"/>
          <w:szCs w:val="24"/>
        </w:rPr>
        <w:t>powyższe</w:t>
      </w:r>
      <w:r w:rsidRPr="002F7D5A">
        <w:rPr>
          <w:sz w:val="24"/>
          <w:szCs w:val="24"/>
        </w:rPr>
        <w:t xml:space="preserve"> środki w odniesieniu do tych działań.</w:t>
      </w:r>
    </w:p>
    <w:p w:rsidR="00BC3201" w:rsidRDefault="00BC3201" w:rsidP="00E7396B">
      <w:pPr>
        <w:pStyle w:val="Akapitzlist"/>
        <w:numPr>
          <w:ilvl w:val="0"/>
          <w:numId w:val="5"/>
        </w:numPr>
        <w:spacing w:before="120" w:after="120" w:line="240" w:lineRule="auto"/>
        <w:contextualSpacing w:val="0"/>
        <w:jc w:val="both"/>
        <w:rPr>
          <w:sz w:val="24"/>
          <w:szCs w:val="24"/>
        </w:rPr>
      </w:pPr>
      <w:r w:rsidRPr="002F7D5A">
        <w:rPr>
          <w:sz w:val="24"/>
          <w:szCs w:val="24"/>
        </w:rPr>
        <w:t xml:space="preserve">Państwa Członkowskie powinny zwrócić szczególną uwagę na prawa ludności </w:t>
      </w:r>
      <w:r w:rsidR="003E4F9A" w:rsidRPr="002F7D5A">
        <w:rPr>
          <w:sz w:val="24"/>
          <w:szCs w:val="24"/>
        </w:rPr>
        <w:t>rdzennej w swoich Krajowych Planach D</w:t>
      </w:r>
      <w:r w:rsidRPr="002F7D5A">
        <w:rPr>
          <w:sz w:val="24"/>
          <w:szCs w:val="24"/>
        </w:rPr>
        <w:t>ziałania.</w:t>
      </w:r>
    </w:p>
    <w:p w:rsidR="00BC3201" w:rsidRPr="002F7D5A" w:rsidRDefault="00BC3201" w:rsidP="00E7396B">
      <w:pPr>
        <w:pStyle w:val="Akapitzlist"/>
        <w:spacing w:before="120" w:after="120" w:line="240" w:lineRule="auto"/>
        <w:ind w:left="927"/>
        <w:contextualSpacing w:val="0"/>
        <w:jc w:val="both"/>
        <w:rPr>
          <w:sz w:val="24"/>
          <w:szCs w:val="24"/>
        </w:rPr>
      </w:pPr>
    </w:p>
    <w:p w:rsidR="00BC3201" w:rsidRDefault="00BC3201" w:rsidP="00E7396B">
      <w:pPr>
        <w:pStyle w:val="Akapitzlist"/>
        <w:numPr>
          <w:ilvl w:val="0"/>
          <w:numId w:val="3"/>
        </w:numPr>
        <w:spacing w:before="120" w:after="120" w:line="240" w:lineRule="auto"/>
        <w:ind w:left="993" w:hanging="273"/>
        <w:contextualSpacing w:val="0"/>
        <w:jc w:val="both"/>
        <w:rPr>
          <w:b/>
          <w:sz w:val="24"/>
          <w:szCs w:val="24"/>
        </w:rPr>
      </w:pPr>
      <w:r w:rsidRPr="002F7D5A">
        <w:rPr>
          <w:b/>
          <w:sz w:val="24"/>
          <w:szCs w:val="24"/>
        </w:rPr>
        <w:t>Ochrona obrońców praw człowieka</w:t>
      </w:r>
    </w:p>
    <w:p w:rsidR="00E7396B" w:rsidRPr="002F7D5A" w:rsidRDefault="00E7396B" w:rsidP="00E7396B">
      <w:pPr>
        <w:pStyle w:val="Akapitzlist"/>
        <w:spacing w:before="120" w:after="120" w:line="240" w:lineRule="auto"/>
        <w:ind w:left="993"/>
        <w:contextualSpacing w:val="0"/>
        <w:jc w:val="both"/>
        <w:rPr>
          <w:b/>
          <w:sz w:val="24"/>
          <w:szCs w:val="24"/>
        </w:rPr>
      </w:pPr>
    </w:p>
    <w:p w:rsidR="00BC3201" w:rsidRPr="002F7D5A" w:rsidRDefault="00BC3201" w:rsidP="00E7396B">
      <w:pPr>
        <w:pStyle w:val="Akapitzlist"/>
        <w:numPr>
          <w:ilvl w:val="0"/>
          <w:numId w:val="5"/>
        </w:numPr>
        <w:spacing w:before="120" w:after="120" w:line="240" w:lineRule="auto"/>
        <w:contextualSpacing w:val="0"/>
        <w:jc w:val="both"/>
        <w:rPr>
          <w:sz w:val="24"/>
          <w:szCs w:val="24"/>
        </w:rPr>
      </w:pPr>
      <w:r w:rsidRPr="002F7D5A">
        <w:rPr>
          <w:sz w:val="24"/>
          <w:szCs w:val="24"/>
        </w:rPr>
        <w:t xml:space="preserve">Państwa członkowskie </w:t>
      </w:r>
      <w:r w:rsidR="00515E08" w:rsidRPr="002F7D5A">
        <w:rPr>
          <w:sz w:val="24"/>
          <w:szCs w:val="24"/>
        </w:rPr>
        <w:t>powinny zapewnić, by działania podejmowane</w:t>
      </w:r>
      <w:r w:rsidRPr="002F7D5A">
        <w:rPr>
          <w:sz w:val="24"/>
          <w:szCs w:val="24"/>
        </w:rPr>
        <w:t xml:space="preserve"> </w:t>
      </w:r>
      <w:r w:rsidR="00515E08" w:rsidRPr="002F7D5A">
        <w:rPr>
          <w:sz w:val="24"/>
          <w:szCs w:val="24"/>
        </w:rPr>
        <w:t xml:space="preserve">przez </w:t>
      </w:r>
      <w:r w:rsidRPr="002F7D5A">
        <w:rPr>
          <w:sz w:val="24"/>
          <w:szCs w:val="24"/>
        </w:rPr>
        <w:t xml:space="preserve">obrońców </w:t>
      </w:r>
      <w:r w:rsidR="00515E08" w:rsidRPr="002F7D5A">
        <w:rPr>
          <w:sz w:val="24"/>
          <w:szCs w:val="24"/>
        </w:rPr>
        <w:t xml:space="preserve">praw człowieka </w:t>
      </w:r>
      <w:r w:rsidRPr="002F7D5A">
        <w:rPr>
          <w:sz w:val="24"/>
          <w:szCs w:val="24"/>
        </w:rPr>
        <w:t xml:space="preserve">w </w:t>
      </w:r>
      <w:r w:rsidR="00860C5B">
        <w:rPr>
          <w:sz w:val="24"/>
          <w:szCs w:val="24"/>
        </w:rPr>
        <w:t>obrębie</w:t>
      </w:r>
      <w:r w:rsidRPr="002F7D5A">
        <w:rPr>
          <w:sz w:val="24"/>
          <w:szCs w:val="24"/>
        </w:rPr>
        <w:t xml:space="preserve"> ich jurysdykcji</w:t>
      </w:r>
      <w:r w:rsidR="00515E08" w:rsidRPr="002F7D5A">
        <w:rPr>
          <w:sz w:val="24"/>
          <w:szCs w:val="24"/>
        </w:rPr>
        <w:t xml:space="preserve">, które </w:t>
      </w:r>
      <w:r w:rsidRPr="002F7D5A">
        <w:rPr>
          <w:sz w:val="24"/>
          <w:szCs w:val="24"/>
        </w:rPr>
        <w:t>sku</w:t>
      </w:r>
      <w:r w:rsidR="00515E08" w:rsidRPr="002F7D5A">
        <w:rPr>
          <w:sz w:val="24"/>
          <w:szCs w:val="24"/>
        </w:rPr>
        <w:t>piają się na negatywnych skutkach</w:t>
      </w:r>
      <w:r w:rsidRPr="002F7D5A">
        <w:rPr>
          <w:sz w:val="24"/>
          <w:szCs w:val="24"/>
        </w:rPr>
        <w:t xml:space="preserve"> działań związanych z biznesem w zakresie praw człowieka nie </w:t>
      </w:r>
      <w:r w:rsidR="00515E08" w:rsidRPr="002F7D5A">
        <w:rPr>
          <w:sz w:val="24"/>
          <w:szCs w:val="24"/>
        </w:rPr>
        <w:t>były utrudniane</w:t>
      </w:r>
      <w:r w:rsidRPr="002F7D5A">
        <w:rPr>
          <w:sz w:val="24"/>
          <w:szCs w:val="24"/>
        </w:rPr>
        <w:t xml:space="preserve">, na przykład poprzez naciski polityczne, </w:t>
      </w:r>
      <w:r w:rsidR="00515E08" w:rsidRPr="002F7D5A">
        <w:rPr>
          <w:sz w:val="24"/>
          <w:szCs w:val="24"/>
        </w:rPr>
        <w:t>zastraszanie</w:t>
      </w:r>
      <w:r w:rsidR="00324170" w:rsidRPr="002F7D5A">
        <w:rPr>
          <w:sz w:val="24"/>
          <w:szCs w:val="24"/>
        </w:rPr>
        <w:t xml:space="preserve"> lub</w:t>
      </w:r>
      <w:r w:rsidRPr="002F7D5A">
        <w:rPr>
          <w:sz w:val="24"/>
          <w:szCs w:val="24"/>
        </w:rPr>
        <w:t xml:space="preserve"> </w:t>
      </w:r>
      <w:r w:rsidR="00324170" w:rsidRPr="002F7D5A">
        <w:rPr>
          <w:sz w:val="24"/>
          <w:szCs w:val="24"/>
        </w:rPr>
        <w:t>przymus</w:t>
      </w:r>
      <w:r w:rsidR="002B16B8" w:rsidRPr="002F7D5A">
        <w:rPr>
          <w:sz w:val="24"/>
          <w:szCs w:val="24"/>
        </w:rPr>
        <w:t xml:space="preserve"> na tle politycznym lub ekonomicznym</w:t>
      </w:r>
      <w:r w:rsidRPr="002F7D5A">
        <w:rPr>
          <w:sz w:val="24"/>
          <w:szCs w:val="24"/>
        </w:rPr>
        <w:t>. W szczególności, podstaw</w:t>
      </w:r>
      <w:r w:rsidR="002B16B8" w:rsidRPr="002F7D5A">
        <w:rPr>
          <w:sz w:val="24"/>
          <w:szCs w:val="24"/>
        </w:rPr>
        <w:t>owe prawa przysługujące obrońcom</w:t>
      </w:r>
      <w:r w:rsidRPr="002F7D5A">
        <w:rPr>
          <w:sz w:val="24"/>
          <w:szCs w:val="24"/>
        </w:rPr>
        <w:t xml:space="preserve"> praw człowieka, zgodnie z </w:t>
      </w:r>
      <w:r w:rsidR="00227022">
        <w:rPr>
          <w:sz w:val="24"/>
          <w:szCs w:val="24"/>
        </w:rPr>
        <w:t>art.</w:t>
      </w:r>
      <w:r w:rsidRPr="002F7D5A">
        <w:rPr>
          <w:sz w:val="24"/>
          <w:szCs w:val="24"/>
        </w:rPr>
        <w:t xml:space="preserve"> 10 </w:t>
      </w:r>
      <w:r w:rsidR="008A6763" w:rsidRPr="002F7D5A">
        <w:rPr>
          <w:sz w:val="24"/>
          <w:szCs w:val="24"/>
        </w:rPr>
        <w:t>i</w:t>
      </w:r>
      <w:r w:rsidR="008A6763">
        <w:rPr>
          <w:sz w:val="24"/>
          <w:szCs w:val="24"/>
        </w:rPr>
        <w:t xml:space="preserve"> art. </w:t>
      </w:r>
      <w:r w:rsidRPr="002F7D5A">
        <w:rPr>
          <w:sz w:val="24"/>
          <w:szCs w:val="24"/>
        </w:rPr>
        <w:t>11 Konwencji</w:t>
      </w:r>
      <w:r w:rsidR="002B16B8" w:rsidRPr="002F7D5A">
        <w:rPr>
          <w:sz w:val="24"/>
          <w:szCs w:val="24"/>
        </w:rPr>
        <w:t xml:space="preserve"> o ochronie praw c</w:t>
      </w:r>
      <w:r w:rsidRPr="002F7D5A">
        <w:rPr>
          <w:sz w:val="24"/>
          <w:szCs w:val="24"/>
        </w:rPr>
        <w:t>złowieka</w:t>
      </w:r>
      <w:r w:rsidR="002B16B8" w:rsidRPr="002F7D5A">
        <w:rPr>
          <w:sz w:val="24"/>
          <w:szCs w:val="24"/>
        </w:rPr>
        <w:t xml:space="preserve"> i podstawowych wolności</w:t>
      </w:r>
      <w:r w:rsidRPr="002F7D5A">
        <w:rPr>
          <w:sz w:val="24"/>
          <w:szCs w:val="24"/>
        </w:rPr>
        <w:t xml:space="preserve"> muszą być chronione.</w:t>
      </w:r>
    </w:p>
    <w:p w:rsidR="00BC3201" w:rsidRDefault="00BC3201" w:rsidP="00E7396B">
      <w:pPr>
        <w:pStyle w:val="Akapitzlist"/>
        <w:numPr>
          <w:ilvl w:val="0"/>
          <w:numId w:val="5"/>
        </w:numPr>
        <w:spacing w:before="120" w:after="120" w:line="240" w:lineRule="auto"/>
        <w:contextualSpacing w:val="0"/>
        <w:jc w:val="both"/>
        <w:rPr>
          <w:sz w:val="24"/>
          <w:szCs w:val="24"/>
        </w:rPr>
      </w:pPr>
      <w:r w:rsidRPr="002F7D5A">
        <w:rPr>
          <w:sz w:val="24"/>
          <w:szCs w:val="24"/>
        </w:rPr>
        <w:t>Państw</w:t>
      </w:r>
      <w:r w:rsidR="00324170" w:rsidRPr="002F7D5A">
        <w:rPr>
          <w:sz w:val="24"/>
          <w:szCs w:val="24"/>
        </w:rPr>
        <w:t xml:space="preserve">a członkowskie powinny chronić </w:t>
      </w:r>
      <w:r w:rsidR="002B16B8" w:rsidRPr="002F7D5A">
        <w:rPr>
          <w:sz w:val="24"/>
          <w:szCs w:val="24"/>
        </w:rPr>
        <w:t>oraz</w:t>
      </w:r>
      <w:r w:rsidRPr="002F7D5A">
        <w:rPr>
          <w:sz w:val="24"/>
          <w:szCs w:val="24"/>
        </w:rPr>
        <w:t xml:space="preserve"> wspierać, na przykład za pośrednictwem swoich </w:t>
      </w:r>
      <w:r w:rsidR="00860C5B">
        <w:rPr>
          <w:sz w:val="24"/>
          <w:szCs w:val="24"/>
        </w:rPr>
        <w:t>placówek</w:t>
      </w:r>
      <w:r w:rsidRPr="002F7D5A">
        <w:rPr>
          <w:sz w:val="24"/>
          <w:szCs w:val="24"/>
        </w:rPr>
        <w:t xml:space="preserve"> dyplo</w:t>
      </w:r>
      <w:r w:rsidR="002B16B8" w:rsidRPr="002F7D5A">
        <w:rPr>
          <w:sz w:val="24"/>
          <w:szCs w:val="24"/>
        </w:rPr>
        <w:t>matycznych i konsularnych, pracę</w:t>
      </w:r>
      <w:r w:rsidRPr="002F7D5A">
        <w:rPr>
          <w:sz w:val="24"/>
          <w:szCs w:val="24"/>
        </w:rPr>
        <w:t xml:space="preserve"> obrońców praw człowieka, którzy </w:t>
      </w:r>
      <w:r w:rsidR="00860C5B">
        <w:rPr>
          <w:sz w:val="24"/>
          <w:szCs w:val="24"/>
        </w:rPr>
        <w:t>skupiają</w:t>
      </w:r>
      <w:r w:rsidRPr="002F7D5A">
        <w:rPr>
          <w:sz w:val="24"/>
          <w:szCs w:val="24"/>
        </w:rPr>
        <w:t xml:space="preserve"> się na wpływie biznesu </w:t>
      </w:r>
      <w:r w:rsidR="002B16B8" w:rsidRPr="002F7D5A">
        <w:rPr>
          <w:sz w:val="24"/>
          <w:szCs w:val="24"/>
        </w:rPr>
        <w:t xml:space="preserve">na </w:t>
      </w:r>
      <w:r w:rsidRPr="002F7D5A">
        <w:rPr>
          <w:sz w:val="24"/>
          <w:szCs w:val="24"/>
        </w:rPr>
        <w:t>praw</w:t>
      </w:r>
      <w:r w:rsidR="002B16B8" w:rsidRPr="002F7D5A">
        <w:rPr>
          <w:sz w:val="24"/>
          <w:szCs w:val="24"/>
        </w:rPr>
        <w:t>a</w:t>
      </w:r>
      <w:r w:rsidRPr="002F7D5A">
        <w:rPr>
          <w:sz w:val="24"/>
          <w:szCs w:val="24"/>
        </w:rPr>
        <w:t xml:space="preserve"> człowieka w państwach trzecich, zgodnie z obowiązującymi normami międzynarodowymi i europejskimi.</w:t>
      </w:r>
    </w:p>
    <w:p w:rsidR="00591EC1" w:rsidRPr="00591EC1" w:rsidRDefault="00591EC1" w:rsidP="00E7396B">
      <w:pPr>
        <w:spacing w:before="120" w:after="120" w:line="240" w:lineRule="auto"/>
        <w:jc w:val="center"/>
        <w:rPr>
          <w:b/>
          <w:sz w:val="28"/>
          <w:szCs w:val="28"/>
        </w:rPr>
      </w:pPr>
      <w:r w:rsidRPr="00591EC1">
        <w:rPr>
          <w:b/>
          <w:sz w:val="28"/>
          <w:szCs w:val="28"/>
        </w:rPr>
        <w:lastRenderedPageBreak/>
        <w:t>Memorandum wyjaśniające</w:t>
      </w:r>
    </w:p>
    <w:p w:rsidR="00591EC1" w:rsidRPr="00591EC1" w:rsidRDefault="00591EC1" w:rsidP="00E7396B">
      <w:pPr>
        <w:spacing w:before="120" w:after="120" w:line="240" w:lineRule="auto"/>
        <w:jc w:val="center"/>
        <w:rPr>
          <w:b/>
          <w:sz w:val="28"/>
          <w:szCs w:val="28"/>
        </w:rPr>
      </w:pPr>
      <w:r w:rsidRPr="00591EC1">
        <w:rPr>
          <w:b/>
          <w:sz w:val="28"/>
          <w:szCs w:val="28"/>
        </w:rPr>
        <w:t>do Rekomendacji CM/</w:t>
      </w:r>
      <w:proofErr w:type="spellStart"/>
      <w:r w:rsidRPr="00591EC1">
        <w:rPr>
          <w:b/>
          <w:sz w:val="28"/>
          <w:szCs w:val="28"/>
        </w:rPr>
        <w:t>Rec</w:t>
      </w:r>
      <w:proofErr w:type="spellEnd"/>
      <w:r w:rsidRPr="00591EC1">
        <w:rPr>
          <w:b/>
          <w:sz w:val="28"/>
          <w:szCs w:val="28"/>
        </w:rPr>
        <w:t>(2016)3 Komitetu Ministrów do państw członkowskich dotyczącej praw człowieka i biznesu</w:t>
      </w:r>
    </w:p>
    <w:p w:rsidR="00591EC1" w:rsidRPr="00A42E41" w:rsidRDefault="00591EC1" w:rsidP="00E7396B">
      <w:pPr>
        <w:spacing w:before="120" w:after="120" w:line="240" w:lineRule="auto"/>
        <w:jc w:val="both"/>
        <w:rPr>
          <w:sz w:val="24"/>
          <w:szCs w:val="24"/>
        </w:rPr>
      </w:pPr>
    </w:p>
    <w:p w:rsidR="00591EC1" w:rsidRDefault="00591EC1" w:rsidP="00E7396B">
      <w:pPr>
        <w:pStyle w:val="Akapitzlist"/>
        <w:numPr>
          <w:ilvl w:val="0"/>
          <w:numId w:val="18"/>
        </w:numPr>
        <w:spacing w:before="120" w:after="120" w:line="240" w:lineRule="auto"/>
        <w:ind w:left="567"/>
        <w:contextualSpacing w:val="0"/>
        <w:jc w:val="both"/>
        <w:rPr>
          <w:b/>
          <w:sz w:val="24"/>
          <w:szCs w:val="24"/>
        </w:rPr>
      </w:pPr>
      <w:r w:rsidRPr="00A42E41">
        <w:rPr>
          <w:b/>
          <w:sz w:val="24"/>
          <w:szCs w:val="24"/>
        </w:rPr>
        <w:t>Wstęp</w:t>
      </w:r>
    </w:p>
    <w:p w:rsidR="00277B72" w:rsidRPr="00A42E41" w:rsidRDefault="00277B72" w:rsidP="00277B72">
      <w:pPr>
        <w:pStyle w:val="Akapitzlist"/>
        <w:spacing w:before="120" w:after="120" w:line="240" w:lineRule="auto"/>
        <w:ind w:left="567"/>
        <w:contextualSpacing w:val="0"/>
        <w:jc w:val="both"/>
        <w:rPr>
          <w:b/>
          <w:sz w:val="24"/>
          <w:szCs w:val="24"/>
        </w:rPr>
      </w:pPr>
    </w:p>
    <w:p w:rsidR="00591EC1" w:rsidRPr="00A42E41" w:rsidRDefault="00591EC1" w:rsidP="00E7396B">
      <w:pPr>
        <w:pStyle w:val="Akapitzlist"/>
        <w:numPr>
          <w:ilvl w:val="0"/>
          <w:numId w:val="19"/>
        </w:numPr>
        <w:spacing w:before="120" w:after="120" w:line="240" w:lineRule="auto"/>
        <w:ind w:left="567"/>
        <w:contextualSpacing w:val="0"/>
        <w:jc w:val="both"/>
        <w:rPr>
          <w:sz w:val="24"/>
          <w:szCs w:val="24"/>
        </w:rPr>
      </w:pPr>
      <w:r w:rsidRPr="00A42E41">
        <w:rPr>
          <w:sz w:val="24"/>
          <w:szCs w:val="24"/>
        </w:rPr>
        <w:t xml:space="preserve">Firmy, w </w:t>
      </w:r>
      <w:r w:rsidRPr="00C66B5F">
        <w:rPr>
          <w:sz w:val="24"/>
          <w:szCs w:val="24"/>
        </w:rPr>
        <w:t>szczególności</w:t>
      </w:r>
      <w:r>
        <w:rPr>
          <w:sz w:val="24"/>
          <w:szCs w:val="24"/>
        </w:rPr>
        <w:t xml:space="preserve"> te</w:t>
      </w:r>
      <w:r w:rsidRPr="00C66B5F">
        <w:rPr>
          <w:sz w:val="24"/>
          <w:szCs w:val="24"/>
        </w:rPr>
        <w:t xml:space="preserve">, </w:t>
      </w:r>
      <w:r>
        <w:rPr>
          <w:sz w:val="24"/>
          <w:szCs w:val="24"/>
        </w:rPr>
        <w:t>które</w:t>
      </w:r>
      <w:r w:rsidRPr="00C66B5F">
        <w:rPr>
          <w:sz w:val="24"/>
          <w:szCs w:val="24"/>
        </w:rPr>
        <w:t xml:space="preserve"> działają globalnie jako przedsiębiorstwa wielonarodowe, stają się coraz silniejsze, a </w:t>
      </w:r>
      <w:r>
        <w:rPr>
          <w:sz w:val="24"/>
          <w:szCs w:val="24"/>
        </w:rPr>
        <w:t xml:space="preserve">wartość </w:t>
      </w:r>
      <w:r w:rsidRPr="00C66B5F">
        <w:rPr>
          <w:sz w:val="24"/>
          <w:szCs w:val="24"/>
        </w:rPr>
        <w:t>niektór</w:t>
      </w:r>
      <w:r>
        <w:rPr>
          <w:sz w:val="24"/>
          <w:szCs w:val="24"/>
        </w:rPr>
        <w:t>ych spośród nich</w:t>
      </w:r>
      <w:r w:rsidRPr="00A42E41">
        <w:rPr>
          <w:sz w:val="24"/>
          <w:szCs w:val="24"/>
        </w:rPr>
        <w:t xml:space="preserve"> </w:t>
      </w:r>
      <w:r>
        <w:rPr>
          <w:sz w:val="24"/>
          <w:szCs w:val="24"/>
        </w:rPr>
        <w:t xml:space="preserve">przekracza </w:t>
      </w:r>
      <w:r w:rsidRPr="00A42E41">
        <w:rPr>
          <w:sz w:val="24"/>
          <w:szCs w:val="24"/>
        </w:rPr>
        <w:t>nawet PKB średniej wielkości państw</w:t>
      </w:r>
      <w:r>
        <w:rPr>
          <w:sz w:val="24"/>
          <w:szCs w:val="24"/>
        </w:rPr>
        <w:t>a</w:t>
      </w:r>
      <w:r w:rsidRPr="00A42E41">
        <w:rPr>
          <w:sz w:val="24"/>
          <w:szCs w:val="24"/>
        </w:rPr>
        <w:t>. Choć firmy te na ogół przynoszą korzyści społeczeństw</w:t>
      </w:r>
      <w:r>
        <w:rPr>
          <w:sz w:val="24"/>
          <w:szCs w:val="24"/>
        </w:rPr>
        <w:t>u</w:t>
      </w:r>
      <w:r w:rsidRPr="00A42E41">
        <w:rPr>
          <w:sz w:val="24"/>
          <w:szCs w:val="24"/>
        </w:rPr>
        <w:t xml:space="preserve"> poprzez generowanie przychodów podatkowych, tworzenie nowych miejsc pracy i rozwój technologii</w:t>
      </w:r>
      <w:r>
        <w:rPr>
          <w:sz w:val="24"/>
          <w:szCs w:val="24"/>
        </w:rPr>
        <w:t>,</w:t>
      </w:r>
      <w:r w:rsidRPr="00A42E41">
        <w:rPr>
          <w:sz w:val="24"/>
          <w:szCs w:val="24"/>
        </w:rPr>
        <w:t xml:space="preserve"> kwestia poszanowania praw człowieka oraz odpowiedzialności za</w:t>
      </w:r>
      <w:r>
        <w:rPr>
          <w:sz w:val="24"/>
          <w:szCs w:val="24"/>
        </w:rPr>
        <w:t xml:space="preserve"> ich</w:t>
      </w:r>
      <w:r w:rsidRPr="00A42E41">
        <w:rPr>
          <w:sz w:val="24"/>
          <w:szCs w:val="24"/>
        </w:rPr>
        <w:t xml:space="preserve"> narusz</w:t>
      </w:r>
      <w:r>
        <w:rPr>
          <w:sz w:val="24"/>
          <w:szCs w:val="24"/>
        </w:rPr>
        <w:t>a</w:t>
      </w:r>
      <w:r w:rsidRPr="00A42E41">
        <w:rPr>
          <w:sz w:val="24"/>
          <w:szCs w:val="24"/>
        </w:rPr>
        <w:t>ni</w:t>
      </w:r>
      <w:r>
        <w:rPr>
          <w:sz w:val="24"/>
          <w:szCs w:val="24"/>
        </w:rPr>
        <w:t>e</w:t>
      </w:r>
      <w:r w:rsidRPr="00A42E41">
        <w:rPr>
          <w:sz w:val="24"/>
          <w:szCs w:val="24"/>
        </w:rPr>
        <w:t xml:space="preserve"> przez przedsiębiorstwa </w:t>
      </w:r>
      <w:r>
        <w:rPr>
          <w:sz w:val="24"/>
          <w:szCs w:val="24"/>
        </w:rPr>
        <w:t>jest</w:t>
      </w:r>
      <w:r w:rsidRPr="00A42E41">
        <w:rPr>
          <w:sz w:val="24"/>
          <w:szCs w:val="24"/>
        </w:rPr>
        <w:t xml:space="preserve"> przedmiotem intensywnej debaty zarówno na szczeblu krajowym</w:t>
      </w:r>
      <w:r>
        <w:rPr>
          <w:sz w:val="24"/>
          <w:szCs w:val="24"/>
        </w:rPr>
        <w:t>,</w:t>
      </w:r>
      <w:r w:rsidRPr="00A42E41">
        <w:rPr>
          <w:sz w:val="24"/>
          <w:szCs w:val="24"/>
        </w:rPr>
        <w:t xml:space="preserve"> jak i międzynarodowym. Przedsiębiorcy coraz częściej uważają się za ważnych aktorów w zakresie poszanowani</w:t>
      </w:r>
      <w:r>
        <w:rPr>
          <w:sz w:val="24"/>
          <w:szCs w:val="24"/>
        </w:rPr>
        <w:t>a</w:t>
      </w:r>
      <w:r w:rsidRPr="00A42E41">
        <w:rPr>
          <w:sz w:val="24"/>
          <w:szCs w:val="24"/>
        </w:rPr>
        <w:t xml:space="preserve"> praw człowieka.</w:t>
      </w:r>
      <w:r w:rsidRPr="00A42E41">
        <w:rPr>
          <w:rStyle w:val="Odwoanieprzypisukocowego"/>
          <w:sz w:val="24"/>
          <w:szCs w:val="24"/>
        </w:rPr>
        <w:endnoteReference w:id="1"/>
      </w:r>
      <w:r w:rsidRPr="00A42E41">
        <w:rPr>
          <w:sz w:val="24"/>
          <w:szCs w:val="24"/>
        </w:rPr>
        <w:t xml:space="preserve"> Od kilku dekad termin „społeczna odpowiedzialność biznesu</w:t>
      </w:r>
      <w:r>
        <w:rPr>
          <w:sz w:val="24"/>
          <w:szCs w:val="24"/>
        </w:rPr>
        <w:t>”</w:t>
      </w:r>
      <w:r w:rsidRPr="00A42E41">
        <w:rPr>
          <w:sz w:val="24"/>
          <w:szCs w:val="24"/>
        </w:rPr>
        <w:t xml:space="preserve"> </w:t>
      </w:r>
      <w:r>
        <w:rPr>
          <w:sz w:val="24"/>
          <w:szCs w:val="24"/>
        </w:rPr>
        <w:t>jest</w:t>
      </w:r>
      <w:r w:rsidRPr="00A42E41">
        <w:rPr>
          <w:sz w:val="24"/>
          <w:szCs w:val="24"/>
        </w:rPr>
        <w:t xml:space="preserve"> używany w tym kontekście</w:t>
      </w:r>
      <w:r>
        <w:rPr>
          <w:sz w:val="24"/>
          <w:szCs w:val="24"/>
        </w:rPr>
        <w:t xml:space="preserve"> na określenie </w:t>
      </w:r>
      <w:r w:rsidRPr="00A42E41">
        <w:rPr>
          <w:sz w:val="24"/>
          <w:szCs w:val="24"/>
        </w:rPr>
        <w:t>normatywn</w:t>
      </w:r>
      <w:r>
        <w:rPr>
          <w:sz w:val="24"/>
          <w:szCs w:val="24"/>
        </w:rPr>
        <w:t>ego</w:t>
      </w:r>
      <w:r w:rsidRPr="00A42E41">
        <w:rPr>
          <w:sz w:val="24"/>
          <w:szCs w:val="24"/>
        </w:rPr>
        <w:t xml:space="preserve"> standard</w:t>
      </w:r>
      <w:r>
        <w:rPr>
          <w:sz w:val="24"/>
          <w:szCs w:val="24"/>
        </w:rPr>
        <w:t>u</w:t>
      </w:r>
      <w:r w:rsidRPr="00A42E41">
        <w:rPr>
          <w:sz w:val="24"/>
          <w:szCs w:val="24"/>
        </w:rPr>
        <w:t xml:space="preserve">, </w:t>
      </w:r>
      <w:r>
        <w:rPr>
          <w:sz w:val="24"/>
          <w:szCs w:val="24"/>
        </w:rPr>
        <w:t xml:space="preserve">który umożliwia </w:t>
      </w:r>
      <w:r w:rsidRPr="00A42E41">
        <w:rPr>
          <w:sz w:val="24"/>
          <w:szCs w:val="24"/>
        </w:rPr>
        <w:t>przedsiębiorstw</w:t>
      </w:r>
      <w:r>
        <w:rPr>
          <w:sz w:val="24"/>
          <w:szCs w:val="24"/>
        </w:rPr>
        <w:t>om</w:t>
      </w:r>
      <w:r w:rsidRPr="00A42E41">
        <w:rPr>
          <w:sz w:val="24"/>
          <w:szCs w:val="24"/>
        </w:rPr>
        <w:t xml:space="preserve"> </w:t>
      </w:r>
      <w:r>
        <w:rPr>
          <w:sz w:val="24"/>
          <w:szCs w:val="24"/>
        </w:rPr>
        <w:t>wzięcie</w:t>
      </w:r>
      <w:r w:rsidRPr="00A42E41">
        <w:rPr>
          <w:sz w:val="24"/>
          <w:szCs w:val="24"/>
        </w:rPr>
        <w:t xml:space="preserve"> odpowiedzialnoś</w:t>
      </w:r>
      <w:r>
        <w:rPr>
          <w:sz w:val="24"/>
          <w:szCs w:val="24"/>
        </w:rPr>
        <w:t>ci</w:t>
      </w:r>
      <w:r w:rsidRPr="00A42E41">
        <w:rPr>
          <w:sz w:val="24"/>
          <w:szCs w:val="24"/>
        </w:rPr>
        <w:t xml:space="preserve"> za swoje działania </w:t>
      </w:r>
      <w:r>
        <w:rPr>
          <w:sz w:val="24"/>
          <w:szCs w:val="24"/>
        </w:rPr>
        <w:t>oraz</w:t>
      </w:r>
      <w:r w:rsidRPr="00A42E41">
        <w:rPr>
          <w:sz w:val="24"/>
          <w:szCs w:val="24"/>
        </w:rPr>
        <w:t xml:space="preserve"> </w:t>
      </w:r>
      <w:r>
        <w:rPr>
          <w:sz w:val="24"/>
          <w:szCs w:val="24"/>
        </w:rPr>
        <w:t>wzmocnienie</w:t>
      </w:r>
      <w:r w:rsidRPr="00A42E41">
        <w:rPr>
          <w:sz w:val="24"/>
          <w:szCs w:val="24"/>
        </w:rPr>
        <w:t xml:space="preserve"> pozytywn</w:t>
      </w:r>
      <w:r>
        <w:rPr>
          <w:sz w:val="24"/>
          <w:szCs w:val="24"/>
        </w:rPr>
        <w:t>ego</w:t>
      </w:r>
      <w:r w:rsidRPr="00A42E41">
        <w:rPr>
          <w:sz w:val="24"/>
          <w:szCs w:val="24"/>
        </w:rPr>
        <w:t xml:space="preserve"> wpływ</w:t>
      </w:r>
      <w:r>
        <w:rPr>
          <w:sz w:val="24"/>
          <w:szCs w:val="24"/>
        </w:rPr>
        <w:t>u</w:t>
      </w:r>
      <w:r w:rsidRPr="00A42E41">
        <w:rPr>
          <w:sz w:val="24"/>
          <w:szCs w:val="24"/>
        </w:rPr>
        <w:t>,</w:t>
      </w:r>
      <w:r>
        <w:rPr>
          <w:sz w:val="24"/>
          <w:szCs w:val="24"/>
        </w:rPr>
        <w:t xml:space="preserve"> jaki poprzez swą działalność wywierają m.in. na</w:t>
      </w:r>
      <w:r w:rsidRPr="00A42E41">
        <w:rPr>
          <w:sz w:val="24"/>
          <w:szCs w:val="24"/>
        </w:rPr>
        <w:t xml:space="preserve"> prawa człowieka. </w:t>
      </w:r>
      <w:r w:rsidRPr="001B7BBF">
        <w:rPr>
          <w:sz w:val="24"/>
          <w:szCs w:val="24"/>
        </w:rPr>
        <w:t>Ponieważ wiele</w:t>
      </w:r>
      <w:r w:rsidRPr="00A42E41">
        <w:rPr>
          <w:sz w:val="24"/>
          <w:szCs w:val="24"/>
        </w:rPr>
        <w:t xml:space="preserve"> międzynarodowych firm, które działają w skali globalnej</w:t>
      </w:r>
      <w:r>
        <w:rPr>
          <w:sz w:val="24"/>
          <w:szCs w:val="24"/>
        </w:rPr>
        <w:t>,</w:t>
      </w:r>
      <w:r w:rsidRPr="00A42E41">
        <w:rPr>
          <w:sz w:val="24"/>
          <w:szCs w:val="24"/>
        </w:rPr>
        <w:t xml:space="preserve"> ma swoją siedzibę na terenie państw członkowskich Rady Europy</w:t>
      </w:r>
      <w:r>
        <w:rPr>
          <w:sz w:val="24"/>
          <w:szCs w:val="24"/>
        </w:rPr>
        <w:t>,</w:t>
      </w:r>
      <w:r w:rsidRPr="00A42E41">
        <w:rPr>
          <w:sz w:val="24"/>
          <w:szCs w:val="24"/>
        </w:rPr>
        <w:t xml:space="preserve"> kwestia ta ma duże znaczenie dla tej organizacji.</w:t>
      </w:r>
    </w:p>
    <w:p w:rsidR="00591EC1" w:rsidRPr="00A42E41" w:rsidRDefault="00591EC1" w:rsidP="00E7396B">
      <w:pPr>
        <w:pStyle w:val="Akapitzlist"/>
        <w:spacing w:before="120" w:after="120" w:line="240" w:lineRule="auto"/>
        <w:ind w:left="1069"/>
        <w:contextualSpacing w:val="0"/>
        <w:jc w:val="both"/>
        <w:rPr>
          <w:sz w:val="24"/>
          <w:szCs w:val="24"/>
        </w:rPr>
      </w:pPr>
    </w:p>
    <w:p w:rsidR="00591EC1" w:rsidRPr="00A42E41" w:rsidRDefault="00591EC1" w:rsidP="00E7396B">
      <w:pPr>
        <w:pStyle w:val="Akapitzlist"/>
        <w:spacing w:before="120" w:after="120" w:line="240" w:lineRule="auto"/>
        <w:ind w:left="567"/>
        <w:contextualSpacing w:val="0"/>
        <w:jc w:val="both"/>
        <w:rPr>
          <w:i/>
          <w:sz w:val="24"/>
          <w:szCs w:val="24"/>
        </w:rPr>
      </w:pPr>
      <w:r w:rsidRPr="00A42E41">
        <w:rPr>
          <w:i/>
          <w:sz w:val="24"/>
          <w:szCs w:val="24"/>
        </w:rPr>
        <w:t>Wytyczne ONZ</w:t>
      </w:r>
    </w:p>
    <w:p w:rsidR="00591EC1" w:rsidRPr="00A42E41" w:rsidRDefault="00591EC1" w:rsidP="00E7396B">
      <w:pPr>
        <w:pStyle w:val="Akapitzlist"/>
        <w:numPr>
          <w:ilvl w:val="0"/>
          <w:numId w:val="19"/>
        </w:numPr>
        <w:spacing w:before="120" w:after="120" w:line="240" w:lineRule="auto"/>
        <w:ind w:left="567"/>
        <w:contextualSpacing w:val="0"/>
        <w:jc w:val="both"/>
        <w:rPr>
          <w:sz w:val="24"/>
          <w:szCs w:val="24"/>
        </w:rPr>
      </w:pPr>
      <w:r w:rsidRPr="00A42E41">
        <w:rPr>
          <w:sz w:val="24"/>
          <w:szCs w:val="24"/>
        </w:rPr>
        <w:t>Rada Praw Człowieka ONZ w dniu 16 czerwca 2011 r. jednogłośnie przyjęła</w:t>
      </w:r>
      <w:r>
        <w:rPr>
          <w:sz w:val="24"/>
          <w:szCs w:val="24"/>
        </w:rPr>
        <w:t xml:space="preserve"> </w:t>
      </w:r>
      <w:r w:rsidRPr="00A42E41">
        <w:rPr>
          <w:sz w:val="24"/>
          <w:szCs w:val="24"/>
        </w:rPr>
        <w:t xml:space="preserve">Wytyczne do implementacji dokumentu ramowego ONZ </w:t>
      </w:r>
      <w:r>
        <w:rPr>
          <w:sz w:val="24"/>
          <w:szCs w:val="24"/>
        </w:rPr>
        <w:t>„</w:t>
      </w:r>
      <w:r w:rsidRPr="00A42E41">
        <w:rPr>
          <w:sz w:val="24"/>
          <w:szCs w:val="24"/>
        </w:rPr>
        <w:t>Chr</w:t>
      </w:r>
      <w:r>
        <w:rPr>
          <w:sz w:val="24"/>
          <w:szCs w:val="24"/>
        </w:rPr>
        <w:t>oń, szanuj, naprawiaj” (dalej: „Wytyczne ONZ”</w:t>
      </w:r>
      <w:r w:rsidRPr="00A42E41">
        <w:rPr>
          <w:sz w:val="24"/>
          <w:szCs w:val="24"/>
        </w:rPr>
        <w:t xml:space="preserve">), które zostały opracowane przez Specjalnego Przedstawiciela Sekretarza Generalnego ONZ ds. biznesu i praw człowieka, Pana </w:t>
      </w:r>
      <w:r w:rsidRPr="001B7BBF">
        <w:rPr>
          <w:sz w:val="24"/>
          <w:szCs w:val="24"/>
        </w:rPr>
        <w:t xml:space="preserve">Johna </w:t>
      </w:r>
      <w:proofErr w:type="spellStart"/>
      <w:r w:rsidRPr="001B7BBF">
        <w:rPr>
          <w:sz w:val="24"/>
          <w:szCs w:val="24"/>
        </w:rPr>
        <w:t>Ruggiego</w:t>
      </w:r>
      <w:proofErr w:type="spellEnd"/>
      <w:r w:rsidRPr="00A42E41">
        <w:rPr>
          <w:sz w:val="24"/>
          <w:szCs w:val="24"/>
        </w:rPr>
        <w:t>. Wytyczne ONZ zapewniają uznany globalny standard w zakresie zapobiegania i przeciwdziałania ryzyku niekorzystnego wpływu na prawa człowieka związanego z działalnością biznesową. Choć nie są one prawnie wiążące i nie tworzą żadnych nowych zobowiązań wynikających z prawa międzynarodowego, to wyjaśniają znaczenie odpowiedzialności przedsiębiorstw za przestrzegani</w:t>
      </w:r>
      <w:r>
        <w:rPr>
          <w:sz w:val="24"/>
          <w:szCs w:val="24"/>
        </w:rPr>
        <w:t>e</w:t>
      </w:r>
      <w:r w:rsidRPr="00A42E41">
        <w:rPr>
          <w:sz w:val="24"/>
          <w:szCs w:val="24"/>
        </w:rPr>
        <w:t xml:space="preserve"> praw człowieka. Wytyczne opierają się na trzech filarach</w:t>
      </w:r>
      <w:r>
        <w:rPr>
          <w:sz w:val="24"/>
          <w:szCs w:val="24"/>
        </w:rPr>
        <w:t>.</w:t>
      </w:r>
      <w:r w:rsidRPr="00A42E41">
        <w:rPr>
          <w:sz w:val="24"/>
          <w:szCs w:val="24"/>
        </w:rPr>
        <w:t xml:space="preserve"> </w:t>
      </w:r>
      <w:r>
        <w:rPr>
          <w:sz w:val="24"/>
          <w:szCs w:val="24"/>
        </w:rPr>
        <w:t>P</w:t>
      </w:r>
      <w:r w:rsidRPr="00A42E41">
        <w:rPr>
          <w:sz w:val="24"/>
          <w:szCs w:val="24"/>
        </w:rPr>
        <w:t>ierwszym</w:t>
      </w:r>
      <w:r>
        <w:rPr>
          <w:sz w:val="24"/>
          <w:szCs w:val="24"/>
        </w:rPr>
        <w:t xml:space="preserve"> z nich</w:t>
      </w:r>
      <w:r w:rsidRPr="00A42E41">
        <w:rPr>
          <w:sz w:val="24"/>
          <w:szCs w:val="24"/>
        </w:rPr>
        <w:t xml:space="preserve"> jest obowiązek państwa ochrony przed narusz</w:t>
      </w:r>
      <w:r>
        <w:rPr>
          <w:sz w:val="24"/>
          <w:szCs w:val="24"/>
        </w:rPr>
        <w:t>a</w:t>
      </w:r>
      <w:r w:rsidRPr="00A42E41">
        <w:rPr>
          <w:sz w:val="24"/>
          <w:szCs w:val="24"/>
        </w:rPr>
        <w:t>niem praw człowieka przez osoby trzecie, w tym przedsiębiorstwa</w:t>
      </w:r>
      <w:r>
        <w:rPr>
          <w:sz w:val="24"/>
          <w:szCs w:val="24"/>
        </w:rPr>
        <w:t>.</w:t>
      </w:r>
      <w:r w:rsidRPr="00A42E41">
        <w:rPr>
          <w:sz w:val="24"/>
          <w:szCs w:val="24"/>
        </w:rPr>
        <w:t xml:space="preserve"> </w:t>
      </w:r>
      <w:r>
        <w:rPr>
          <w:sz w:val="24"/>
          <w:szCs w:val="24"/>
        </w:rPr>
        <w:t>D</w:t>
      </w:r>
      <w:r w:rsidRPr="00A42E41">
        <w:rPr>
          <w:sz w:val="24"/>
          <w:szCs w:val="24"/>
        </w:rPr>
        <w:t>rugim jest odpowiedzialność przedsiębiorstw za przestrzeganie praw człowieka</w:t>
      </w:r>
      <w:r>
        <w:rPr>
          <w:sz w:val="24"/>
          <w:szCs w:val="24"/>
        </w:rPr>
        <w:t>,</w:t>
      </w:r>
      <w:r w:rsidRPr="00A42E41">
        <w:rPr>
          <w:sz w:val="24"/>
          <w:szCs w:val="24"/>
        </w:rPr>
        <w:t xml:space="preserve"> a trzecim większy dostęp pokrzywdzonych do skutecznego środka zaradczego, zarówno sądowego, jak i pozasądowego. Wytyczne ONZ </w:t>
      </w:r>
      <w:r>
        <w:rPr>
          <w:sz w:val="24"/>
          <w:szCs w:val="24"/>
        </w:rPr>
        <w:t>zawierają</w:t>
      </w:r>
      <w:r w:rsidRPr="00A42E41">
        <w:rPr>
          <w:sz w:val="24"/>
          <w:szCs w:val="24"/>
        </w:rPr>
        <w:t xml:space="preserve"> pierwsz</w:t>
      </w:r>
      <w:r>
        <w:rPr>
          <w:sz w:val="24"/>
          <w:szCs w:val="24"/>
        </w:rPr>
        <w:t>e</w:t>
      </w:r>
      <w:r w:rsidRPr="00A42E41">
        <w:rPr>
          <w:sz w:val="24"/>
          <w:szCs w:val="24"/>
        </w:rPr>
        <w:t xml:space="preserve"> globalnie uzgodnione standardy, które zostały przejęte przez inne organizacje</w:t>
      </w:r>
      <w:r w:rsidRPr="00105182">
        <w:rPr>
          <w:sz w:val="24"/>
          <w:szCs w:val="24"/>
        </w:rPr>
        <w:t xml:space="preserve"> </w:t>
      </w:r>
      <w:r w:rsidRPr="00A42E41">
        <w:rPr>
          <w:sz w:val="24"/>
          <w:szCs w:val="24"/>
        </w:rPr>
        <w:t xml:space="preserve">międzyrządowe, rządy i przedsiębiorstwa, i </w:t>
      </w:r>
      <w:r>
        <w:rPr>
          <w:sz w:val="24"/>
          <w:szCs w:val="24"/>
        </w:rPr>
        <w:t>spotkały się z</w:t>
      </w:r>
      <w:r w:rsidRPr="00A42E41">
        <w:rPr>
          <w:sz w:val="24"/>
          <w:szCs w:val="24"/>
        </w:rPr>
        <w:t xml:space="preserve"> dobr</w:t>
      </w:r>
      <w:r>
        <w:rPr>
          <w:sz w:val="24"/>
          <w:szCs w:val="24"/>
        </w:rPr>
        <w:t>ym</w:t>
      </w:r>
      <w:r w:rsidRPr="00A42E41">
        <w:rPr>
          <w:sz w:val="24"/>
          <w:szCs w:val="24"/>
        </w:rPr>
        <w:t xml:space="preserve"> przyję</w:t>
      </w:r>
      <w:r>
        <w:rPr>
          <w:sz w:val="24"/>
          <w:szCs w:val="24"/>
        </w:rPr>
        <w:t>ciem</w:t>
      </w:r>
      <w:r w:rsidRPr="00A42E41">
        <w:rPr>
          <w:sz w:val="24"/>
          <w:szCs w:val="24"/>
        </w:rPr>
        <w:t xml:space="preserve"> </w:t>
      </w:r>
      <w:r>
        <w:rPr>
          <w:sz w:val="24"/>
          <w:szCs w:val="24"/>
        </w:rPr>
        <w:t>ze strony</w:t>
      </w:r>
      <w:r w:rsidRPr="00A42E41">
        <w:rPr>
          <w:sz w:val="24"/>
          <w:szCs w:val="24"/>
        </w:rPr>
        <w:t xml:space="preserve"> grup interesariuszy, zarówno z sektora prywatnego, jak i społeczeństwa obywatelskiego. Wytyczne ONZ </w:t>
      </w:r>
      <w:r>
        <w:rPr>
          <w:sz w:val="24"/>
          <w:szCs w:val="24"/>
        </w:rPr>
        <w:t>pozwoliły na wypracowanie</w:t>
      </w:r>
      <w:r w:rsidRPr="00A42E41">
        <w:rPr>
          <w:sz w:val="24"/>
          <w:szCs w:val="24"/>
        </w:rPr>
        <w:t xml:space="preserve"> światow</w:t>
      </w:r>
      <w:r>
        <w:rPr>
          <w:sz w:val="24"/>
          <w:szCs w:val="24"/>
        </w:rPr>
        <w:t>ego</w:t>
      </w:r>
      <w:r w:rsidRPr="00A42E41">
        <w:rPr>
          <w:sz w:val="24"/>
          <w:szCs w:val="24"/>
        </w:rPr>
        <w:t xml:space="preserve"> konsensus</w:t>
      </w:r>
      <w:r>
        <w:rPr>
          <w:sz w:val="24"/>
          <w:szCs w:val="24"/>
        </w:rPr>
        <w:t>u</w:t>
      </w:r>
      <w:r w:rsidRPr="00A42E41">
        <w:rPr>
          <w:sz w:val="24"/>
          <w:szCs w:val="24"/>
        </w:rPr>
        <w:t xml:space="preserve"> między wszystkimi zainteresowanymi stronami w zakresie szeregu kluczowych zasad dotyczących odpowiedzialności przedsiębiorstw za przestrzeganie praw człowieka. Celem niniejszej Rekomendacji jest ułatwienie </w:t>
      </w:r>
      <w:r w:rsidRPr="00A42E41">
        <w:rPr>
          <w:sz w:val="24"/>
          <w:szCs w:val="24"/>
        </w:rPr>
        <w:lastRenderedPageBreak/>
        <w:t>implementacji tych kluczowych zasad we wszystkich 47 państwach członkowskich Rady Europy oraz udzielenie wskazówek, jak wypełnić luki na szczeblu europejskim.</w:t>
      </w:r>
    </w:p>
    <w:p w:rsidR="00591EC1" w:rsidRPr="00A42E41" w:rsidRDefault="00591EC1" w:rsidP="00E7396B">
      <w:pPr>
        <w:pStyle w:val="Akapitzlist"/>
        <w:spacing w:before="120" w:after="120" w:line="240" w:lineRule="auto"/>
        <w:ind w:left="1080"/>
        <w:contextualSpacing w:val="0"/>
        <w:jc w:val="both"/>
        <w:rPr>
          <w:sz w:val="24"/>
          <w:szCs w:val="24"/>
        </w:rPr>
      </w:pPr>
    </w:p>
    <w:p w:rsidR="00591EC1" w:rsidRPr="00A42E41" w:rsidRDefault="00591EC1" w:rsidP="00E7396B">
      <w:pPr>
        <w:pStyle w:val="Akapitzlist"/>
        <w:spacing w:before="120" w:after="120" w:line="240" w:lineRule="auto"/>
        <w:ind w:left="567"/>
        <w:contextualSpacing w:val="0"/>
        <w:jc w:val="both"/>
        <w:rPr>
          <w:i/>
          <w:sz w:val="24"/>
          <w:szCs w:val="24"/>
        </w:rPr>
      </w:pPr>
      <w:r w:rsidRPr="00A42E41">
        <w:rPr>
          <w:i/>
          <w:sz w:val="24"/>
          <w:szCs w:val="24"/>
        </w:rPr>
        <w:t>Praca w Komitecie Ministrów</w:t>
      </w:r>
    </w:p>
    <w:p w:rsidR="00591EC1" w:rsidRPr="00A42E41" w:rsidRDefault="00591EC1" w:rsidP="00E7396B">
      <w:pPr>
        <w:pStyle w:val="Akapitzlist"/>
        <w:numPr>
          <w:ilvl w:val="0"/>
          <w:numId w:val="19"/>
        </w:numPr>
        <w:spacing w:before="120" w:after="120" w:line="240" w:lineRule="auto"/>
        <w:ind w:left="567"/>
        <w:contextualSpacing w:val="0"/>
        <w:jc w:val="both"/>
        <w:rPr>
          <w:sz w:val="24"/>
          <w:szCs w:val="24"/>
        </w:rPr>
      </w:pPr>
      <w:r w:rsidRPr="00A42E41">
        <w:rPr>
          <w:sz w:val="24"/>
          <w:szCs w:val="24"/>
        </w:rPr>
        <w:t xml:space="preserve">Na 1160 posiedzeniu w dniu 13 stycznia 2013 r. Komitet Ministrów zlecił Komitetowi Sterującemu ds. Praw Człowieka (CDDH) opracowanie deklaracji wspierającej Wytyczne ONZ oraz przedstawienie jej Komitetowi Ministrów do dnia 30 czerwca 2014 r. Deklaracja ta, opracowana przez Grupę Roboczą ds. </w:t>
      </w:r>
      <w:r>
        <w:rPr>
          <w:sz w:val="24"/>
          <w:szCs w:val="24"/>
        </w:rPr>
        <w:t>P</w:t>
      </w:r>
      <w:r w:rsidRPr="00A42E41">
        <w:rPr>
          <w:sz w:val="24"/>
          <w:szCs w:val="24"/>
        </w:rPr>
        <w:t xml:space="preserve">raw </w:t>
      </w:r>
      <w:r>
        <w:rPr>
          <w:sz w:val="24"/>
          <w:szCs w:val="24"/>
        </w:rPr>
        <w:t>C</w:t>
      </w:r>
      <w:r w:rsidRPr="00A42E41">
        <w:rPr>
          <w:sz w:val="24"/>
          <w:szCs w:val="24"/>
        </w:rPr>
        <w:t xml:space="preserve">złowieka i </w:t>
      </w:r>
      <w:r>
        <w:rPr>
          <w:sz w:val="24"/>
          <w:szCs w:val="24"/>
        </w:rPr>
        <w:t>B</w:t>
      </w:r>
      <w:r w:rsidRPr="00A42E41">
        <w:rPr>
          <w:sz w:val="24"/>
          <w:szCs w:val="24"/>
        </w:rPr>
        <w:t>iznesu (CDDH-CORP) działając</w:t>
      </w:r>
      <w:r>
        <w:rPr>
          <w:sz w:val="24"/>
          <w:szCs w:val="24"/>
        </w:rPr>
        <w:t>ą</w:t>
      </w:r>
      <w:r w:rsidRPr="00A42E41">
        <w:rPr>
          <w:sz w:val="24"/>
          <w:szCs w:val="24"/>
        </w:rPr>
        <w:t xml:space="preserve"> pod nadzorem CDDH, została przyjęta przez Komitet Ministrów w dniu 16 kwietnia 2014 r. W deklaracji Komitet Ministrów m.in. uznał, że przedsiębiorstwa mają obowiązek przestrzegania praw człowieka</w:t>
      </w:r>
      <w:r>
        <w:rPr>
          <w:sz w:val="24"/>
          <w:szCs w:val="24"/>
        </w:rPr>
        <w:t>,</w:t>
      </w:r>
      <w:r w:rsidRPr="00A42E41">
        <w:rPr>
          <w:sz w:val="24"/>
          <w:szCs w:val="24"/>
        </w:rPr>
        <w:t xml:space="preserve"> </w:t>
      </w:r>
      <w:r>
        <w:rPr>
          <w:sz w:val="24"/>
          <w:szCs w:val="24"/>
        </w:rPr>
        <w:t>pozytywnie ocenił</w:t>
      </w:r>
      <w:r w:rsidRPr="00A42E41">
        <w:rPr>
          <w:sz w:val="24"/>
          <w:szCs w:val="24"/>
        </w:rPr>
        <w:t xml:space="preserve"> Wytyczne ONZ i uznał je za globalnie uzgodniony standard</w:t>
      </w:r>
      <w:r>
        <w:rPr>
          <w:sz w:val="24"/>
          <w:szCs w:val="24"/>
        </w:rPr>
        <w:t>,</w:t>
      </w:r>
      <w:r w:rsidRPr="00A42E41">
        <w:rPr>
          <w:sz w:val="24"/>
          <w:szCs w:val="24"/>
        </w:rPr>
        <w:t xml:space="preserve"> </w:t>
      </w:r>
      <w:r>
        <w:rPr>
          <w:sz w:val="24"/>
          <w:szCs w:val="24"/>
        </w:rPr>
        <w:t>p</w:t>
      </w:r>
      <w:r w:rsidRPr="00A42E41">
        <w:rPr>
          <w:sz w:val="24"/>
          <w:szCs w:val="24"/>
        </w:rPr>
        <w:t>odkreślił, że ich skuteczne wdrożenie</w:t>
      </w:r>
      <w:r>
        <w:rPr>
          <w:sz w:val="24"/>
          <w:szCs w:val="24"/>
        </w:rPr>
        <w:t xml:space="preserve"> –</w:t>
      </w:r>
      <w:r w:rsidRPr="00A42E41">
        <w:rPr>
          <w:sz w:val="24"/>
          <w:szCs w:val="24"/>
        </w:rPr>
        <w:t xml:space="preserve"> zarówno przez państwa, jak i przez przedsiębiorstwa </w:t>
      </w:r>
      <w:r>
        <w:rPr>
          <w:sz w:val="24"/>
          <w:szCs w:val="24"/>
        </w:rPr>
        <w:t>–</w:t>
      </w:r>
      <w:r w:rsidRPr="00A42E41">
        <w:rPr>
          <w:sz w:val="24"/>
          <w:szCs w:val="24"/>
        </w:rPr>
        <w:t xml:space="preserve"> jest niezbędn</w:t>
      </w:r>
      <w:r>
        <w:rPr>
          <w:sz w:val="24"/>
          <w:szCs w:val="24"/>
        </w:rPr>
        <w:t>e</w:t>
      </w:r>
      <w:r w:rsidRPr="00A42E41">
        <w:rPr>
          <w:sz w:val="24"/>
          <w:szCs w:val="24"/>
        </w:rPr>
        <w:t xml:space="preserve"> do zapewnienia poszanowania praw człowieka w kontekście działalności gospodarczej</w:t>
      </w:r>
      <w:r>
        <w:rPr>
          <w:sz w:val="24"/>
          <w:szCs w:val="24"/>
        </w:rPr>
        <w:t>,</w:t>
      </w:r>
      <w:r w:rsidRPr="00A42E41">
        <w:rPr>
          <w:sz w:val="24"/>
          <w:szCs w:val="24"/>
        </w:rPr>
        <w:t xml:space="preserve"> i wyraził chęć przyczynienia się do skutecznego wdrożenia Wytycznych na poziomie europejskim.</w:t>
      </w:r>
    </w:p>
    <w:p w:rsidR="00591EC1" w:rsidRPr="00A42E41" w:rsidRDefault="00591EC1" w:rsidP="00E7396B">
      <w:pPr>
        <w:pStyle w:val="Akapitzlist"/>
        <w:numPr>
          <w:ilvl w:val="0"/>
          <w:numId w:val="19"/>
        </w:numPr>
        <w:spacing w:before="120" w:after="120" w:line="240" w:lineRule="auto"/>
        <w:ind w:left="567"/>
        <w:contextualSpacing w:val="0"/>
        <w:jc w:val="both"/>
        <w:rPr>
          <w:sz w:val="24"/>
          <w:szCs w:val="24"/>
        </w:rPr>
      </w:pPr>
      <w:r w:rsidRPr="00A42E41">
        <w:rPr>
          <w:sz w:val="24"/>
          <w:szCs w:val="24"/>
        </w:rPr>
        <w:t xml:space="preserve">Ponadto w styczniu 2013 r. Komitet Ministrów zlecił CDDH opracowanie </w:t>
      </w:r>
      <w:r>
        <w:rPr>
          <w:sz w:val="24"/>
          <w:szCs w:val="24"/>
        </w:rPr>
        <w:t>–</w:t>
      </w:r>
      <w:r w:rsidRPr="00A42E41">
        <w:rPr>
          <w:sz w:val="24"/>
          <w:szCs w:val="24"/>
        </w:rPr>
        <w:t xml:space="preserve"> we współpracy z sektorem prywatnym i społeczeństwem obywatelskim – niewiążącego instrumentu, który uwzględniałby braki w implementacji Wytycznych ONZ na szczeblu europejskim, w tym w odniesieniu do dostępu do wymiaru sprawiedliwości dla ofiar naruszeń praw człowieka związanych z </w:t>
      </w:r>
      <w:r>
        <w:rPr>
          <w:sz w:val="24"/>
          <w:szCs w:val="24"/>
        </w:rPr>
        <w:t>działalnością gospodarczą</w:t>
      </w:r>
      <w:r w:rsidRPr="00A42E41">
        <w:rPr>
          <w:sz w:val="24"/>
          <w:szCs w:val="24"/>
        </w:rPr>
        <w:t>. CDDH-CORP spotkała się sześć razy w celu przygotowania projektu niewiążącego instrumentu</w:t>
      </w:r>
      <w:r>
        <w:rPr>
          <w:sz w:val="24"/>
          <w:szCs w:val="24"/>
        </w:rPr>
        <w:t>, który zgodnie z jej propozycją miałby przyjąć formę</w:t>
      </w:r>
      <w:r w:rsidRPr="00A42E41">
        <w:rPr>
          <w:sz w:val="24"/>
          <w:szCs w:val="24"/>
        </w:rPr>
        <w:t xml:space="preserve"> Rekomendacj</w:t>
      </w:r>
      <w:r>
        <w:rPr>
          <w:sz w:val="24"/>
          <w:szCs w:val="24"/>
        </w:rPr>
        <w:t>i</w:t>
      </w:r>
      <w:r w:rsidRPr="00A42E41">
        <w:rPr>
          <w:sz w:val="24"/>
          <w:szCs w:val="24"/>
        </w:rPr>
        <w:t xml:space="preserve"> Komitetu Ministrów do państw członkowskich Rady Europy. CDDH-CORP ponadto uznała, że załącznik do Rekomendacji powinien określ</w:t>
      </w:r>
      <w:r>
        <w:rPr>
          <w:sz w:val="24"/>
          <w:szCs w:val="24"/>
        </w:rPr>
        <w:t>a</w:t>
      </w:r>
      <w:r w:rsidRPr="00A42E41">
        <w:rPr>
          <w:sz w:val="24"/>
          <w:szCs w:val="24"/>
        </w:rPr>
        <w:t xml:space="preserve">ć istniejące wymogi prawne oraz zasady, jak również </w:t>
      </w:r>
      <w:r>
        <w:rPr>
          <w:sz w:val="24"/>
          <w:szCs w:val="24"/>
        </w:rPr>
        <w:t>formułować</w:t>
      </w:r>
      <w:r w:rsidRPr="00A42E41">
        <w:rPr>
          <w:sz w:val="24"/>
          <w:szCs w:val="24"/>
        </w:rPr>
        <w:t xml:space="preserve"> dalsze wskazówki. CDDH zatwierdził zaproponowany tekst niniejszej Rekomendacji na swoim 84 posiedzeniu (8-11 grudnia 2015 r.) i przekazał go Komitetowi Ministrów, który przyjął Rekomendację w dniu 2 marca 2016 r. na 1249 posiedzeniu Zastępców Ministrów.</w:t>
      </w:r>
    </w:p>
    <w:p w:rsidR="00591EC1" w:rsidRPr="00A42E41" w:rsidRDefault="00591EC1" w:rsidP="00E7396B">
      <w:pPr>
        <w:pStyle w:val="Akapitzlist"/>
        <w:spacing w:before="120" w:after="120" w:line="240" w:lineRule="auto"/>
        <w:ind w:left="1080"/>
        <w:contextualSpacing w:val="0"/>
        <w:jc w:val="both"/>
        <w:rPr>
          <w:b/>
          <w:sz w:val="24"/>
          <w:szCs w:val="24"/>
        </w:rPr>
      </w:pPr>
    </w:p>
    <w:p w:rsidR="00591EC1" w:rsidRDefault="00591EC1" w:rsidP="00E7396B">
      <w:pPr>
        <w:pStyle w:val="Akapitzlist"/>
        <w:numPr>
          <w:ilvl w:val="0"/>
          <w:numId w:val="18"/>
        </w:numPr>
        <w:spacing w:before="120" w:after="120" w:line="240" w:lineRule="auto"/>
        <w:ind w:left="567"/>
        <w:contextualSpacing w:val="0"/>
        <w:jc w:val="both"/>
        <w:rPr>
          <w:b/>
          <w:sz w:val="24"/>
          <w:szCs w:val="24"/>
        </w:rPr>
      </w:pPr>
      <w:r w:rsidRPr="00A42E41">
        <w:rPr>
          <w:b/>
          <w:sz w:val="24"/>
          <w:szCs w:val="24"/>
        </w:rPr>
        <w:t>Uwagi</w:t>
      </w:r>
    </w:p>
    <w:p w:rsidR="00277B72" w:rsidRPr="00A42E41" w:rsidRDefault="00277B72" w:rsidP="00277B72">
      <w:pPr>
        <w:pStyle w:val="Akapitzlist"/>
        <w:spacing w:before="120" w:after="120" w:line="240" w:lineRule="auto"/>
        <w:ind w:left="567"/>
        <w:contextualSpacing w:val="0"/>
        <w:jc w:val="both"/>
        <w:rPr>
          <w:b/>
          <w:sz w:val="24"/>
          <w:szCs w:val="24"/>
        </w:rPr>
      </w:pPr>
    </w:p>
    <w:p w:rsidR="00591EC1" w:rsidRPr="00A42E41" w:rsidRDefault="00591EC1" w:rsidP="00E7396B">
      <w:pPr>
        <w:pStyle w:val="Akapitzlist"/>
        <w:spacing w:before="120" w:after="120" w:line="240" w:lineRule="auto"/>
        <w:ind w:left="567"/>
        <w:contextualSpacing w:val="0"/>
        <w:jc w:val="both"/>
        <w:rPr>
          <w:b/>
          <w:sz w:val="24"/>
          <w:szCs w:val="24"/>
        </w:rPr>
      </w:pPr>
      <w:r>
        <w:rPr>
          <w:b/>
          <w:sz w:val="24"/>
          <w:szCs w:val="24"/>
        </w:rPr>
        <w:t>R</w:t>
      </w:r>
      <w:r w:rsidRPr="00A42E41">
        <w:rPr>
          <w:b/>
          <w:sz w:val="24"/>
          <w:szCs w:val="24"/>
        </w:rPr>
        <w:t>ozważania</w:t>
      </w:r>
      <w:r>
        <w:rPr>
          <w:b/>
          <w:sz w:val="24"/>
          <w:szCs w:val="24"/>
        </w:rPr>
        <w:t xml:space="preserve"> ogólne</w:t>
      </w:r>
    </w:p>
    <w:p w:rsidR="00591EC1" w:rsidRPr="000F5898" w:rsidRDefault="00591EC1" w:rsidP="00E7396B">
      <w:pPr>
        <w:pStyle w:val="Akapitzlist"/>
        <w:spacing w:before="120" w:after="120" w:line="240" w:lineRule="auto"/>
        <w:ind w:left="567"/>
        <w:contextualSpacing w:val="0"/>
        <w:jc w:val="both"/>
        <w:rPr>
          <w:i/>
          <w:sz w:val="24"/>
          <w:szCs w:val="24"/>
        </w:rPr>
      </w:pPr>
      <w:r w:rsidRPr="000F5898">
        <w:rPr>
          <w:i/>
          <w:sz w:val="24"/>
          <w:szCs w:val="24"/>
        </w:rPr>
        <w:t>Cel Rekomendacji</w:t>
      </w:r>
    </w:p>
    <w:p w:rsidR="00591EC1" w:rsidRDefault="00591EC1" w:rsidP="00E7396B">
      <w:pPr>
        <w:pStyle w:val="Akapitzlist"/>
        <w:numPr>
          <w:ilvl w:val="0"/>
          <w:numId w:val="19"/>
        </w:numPr>
        <w:spacing w:before="120" w:after="120" w:line="240" w:lineRule="auto"/>
        <w:ind w:left="567"/>
        <w:contextualSpacing w:val="0"/>
        <w:jc w:val="both"/>
        <w:rPr>
          <w:sz w:val="24"/>
          <w:szCs w:val="24"/>
        </w:rPr>
      </w:pPr>
      <w:r w:rsidRPr="00A42E41">
        <w:rPr>
          <w:sz w:val="24"/>
          <w:szCs w:val="24"/>
        </w:rPr>
        <w:t xml:space="preserve">Rekomendacja ma na celu </w:t>
      </w:r>
      <w:r>
        <w:rPr>
          <w:sz w:val="24"/>
          <w:szCs w:val="24"/>
        </w:rPr>
        <w:t>udzielenie</w:t>
      </w:r>
      <w:r w:rsidRPr="00A42E41">
        <w:rPr>
          <w:sz w:val="24"/>
          <w:szCs w:val="24"/>
        </w:rPr>
        <w:t xml:space="preserve"> państwom członkowskim Rady Europy wskazów</w:t>
      </w:r>
      <w:r>
        <w:rPr>
          <w:sz w:val="24"/>
          <w:szCs w:val="24"/>
        </w:rPr>
        <w:t>e</w:t>
      </w:r>
      <w:r w:rsidRPr="00A42E41">
        <w:rPr>
          <w:sz w:val="24"/>
          <w:szCs w:val="24"/>
        </w:rPr>
        <w:t>k dotycząc</w:t>
      </w:r>
      <w:r>
        <w:rPr>
          <w:sz w:val="24"/>
          <w:szCs w:val="24"/>
        </w:rPr>
        <w:t>ych</w:t>
      </w:r>
      <w:r w:rsidRPr="00A42E41">
        <w:rPr>
          <w:sz w:val="24"/>
          <w:szCs w:val="24"/>
        </w:rPr>
        <w:t xml:space="preserve"> sposobu implementacji Wytycznych ONZ oraz wypełni</w:t>
      </w:r>
      <w:r>
        <w:rPr>
          <w:sz w:val="24"/>
          <w:szCs w:val="24"/>
        </w:rPr>
        <w:t>enie</w:t>
      </w:r>
      <w:r w:rsidRPr="00A42E41">
        <w:rPr>
          <w:sz w:val="24"/>
          <w:szCs w:val="24"/>
        </w:rPr>
        <w:t xml:space="preserve"> wszelki</w:t>
      </w:r>
      <w:r>
        <w:rPr>
          <w:sz w:val="24"/>
          <w:szCs w:val="24"/>
        </w:rPr>
        <w:t>ch</w:t>
      </w:r>
      <w:r w:rsidRPr="00A42E41">
        <w:rPr>
          <w:sz w:val="24"/>
          <w:szCs w:val="24"/>
        </w:rPr>
        <w:t xml:space="preserve"> luk na poziomie europejskim w procesie ich wdrażania. Choć </w:t>
      </w:r>
      <w:r>
        <w:rPr>
          <w:sz w:val="24"/>
          <w:szCs w:val="24"/>
        </w:rPr>
        <w:t>Rekomendacja</w:t>
      </w:r>
      <w:r w:rsidRPr="00A42E41">
        <w:rPr>
          <w:sz w:val="24"/>
          <w:szCs w:val="24"/>
        </w:rPr>
        <w:t xml:space="preserve"> nie</w:t>
      </w:r>
      <w:r>
        <w:rPr>
          <w:sz w:val="24"/>
          <w:szCs w:val="24"/>
        </w:rPr>
        <w:t xml:space="preserve"> wymienia wyraźnie</w:t>
      </w:r>
      <w:r w:rsidRPr="00A42E41">
        <w:rPr>
          <w:sz w:val="24"/>
          <w:szCs w:val="24"/>
        </w:rPr>
        <w:t xml:space="preserve"> wszystki</w:t>
      </w:r>
      <w:r>
        <w:rPr>
          <w:sz w:val="24"/>
          <w:szCs w:val="24"/>
        </w:rPr>
        <w:t>ch</w:t>
      </w:r>
      <w:r w:rsidRPr="00A42E41">
        <w:rPr>
          <w:sz w:val="24"/>
          <w:szCs w:val="24"/>
        </w:rPr>
        <w:t xml:space="preserve"> postanowie</w:t>
      </w:r>
      <w:r>
        <w:rPr>
          <w:sz w:val="24"/>
          <w:szCs w:val="24"/>
        </w:rPr>
        <w:t>ń</w:t>
      </w:r>
      <w:r w:rsidRPr="00A42E41">
        <w:rPr>
          <w:sz w:val="24"/>
          <w:szCs w:val="24"/>
        </w:rPr>
        <w:t xml:space="preserve"> Wytycznych ONZ, </w:t>
      </w:r>
      <w:r>
        <w:rPr>
          <w:sz w:val="24"/>
          <w:szCs w:val="24"/>
        </w:rPr>
        <w:t>ograniczając się jedynie do tych</w:t>
      </w:r>
      <w:r w:rsidRPr="00A42E41">
        <w:rPr>
          <w:sz w:val="24"/>
          <w:szCs w:val="24"/>
        </w:rPr>
        <w:t xml:space="preserve">, </w:t>
      </w:r>
      <w:r>
        <w:rPr>
          <w:sz w:val="24"/>
          <w:szCs w:val="24"/>
        </w:rPr>
        <w:t>w przypadku</w:t>
      </w:r>
      <w:r w:rsidRPr="00A42E41">
        <w:rPr>
          <w:sz w:val="24"/>
          <w:szCs w:val="24"/>
        </w:rPr>
        <w:t xml:space="preserve"> których Komitet Ministrów </w:t>
      </w:r>
      <w:r>
        <w:rPr>
          <w:sz w:val="24"/>
          <w:szCs w:val="24"/>
        </w:rPr>
        <w:t>dokonał</w:t>
      </w:r>
      <w:r w:rsidRPr="00A42E41">
        <w:rPr>
          <w:sz w:val="24"/>
          <w:szCs w:val="24"/>
        </w:rPr>
        <w:t xml:space="preserve"> szczegółow</w:t>
      </w:r>
      <w:r>
        <w:rPr>
          <w:sz w:val="24"/>
          <w:szCs w:val="24"/>
        </w:rPr>
        <w:t>ych</w:t>
      </w:r>
      <w:r w:rsidRPr="00A42E41">
        <w:rPr>
          <w:sz w:val="24"/>
          <w:szCs w:val="24"/>
        </w:rPr>
        <w:t xml:space="preserve"> uzupełnie</w:t>
      </w:r>
      <w:r>
        <w:rPr>
          <w:sz w:val="24"/>
          <w:szCs w:val="24"/>
        </w:rPr>
        <w:t>ń w</w:t>
      </w:r>
      <w:r w:rsidRPr="00A42E41">
        <w:rPr>
          <w:sz w:val="24"/>
          <w:szCs w:val="24"/>
        </w:rPr>
        <w:t xml:space="preserve"> celu wypełnieni</w:t>
      </w:r>
      <w:r>
        <w:rPr>
          <w:sz w:val="24"/>
          <w:szCs w:val="24"/>
        </w:rPr>
        <w:t>a</w:t>
      </w:r>
      <w:r w:rsidRPr="00A42E41">
        <w:rPr>
          <w:sz w:val="24"/>
          <w:szCs w:val="24"/>
        </w:rPr>
        <w:t xml:space="preserve"> luk i umiejscowieni</w:t>
      </w:r>
      <w:r>
        <w:rPr>
          <w:sz w:val="24"/>
          <w:szCs w:val="24"/>
        </w:rPr>
        <w:t>a</w:t>
      </w:r>
      <w:r w:rsidRPr="00A42E41">
        <w:rPr>
          <w:sz w:val="24"/>
          <w:szCs w:val="24"/>
        </w:rPr>
        <w:t xml:space="preserve"> ich w kontekście regionalnym, </w:t>
      </w:r>
      <w:r>
        <w:rPr>
          <w:sz w:val="24"/>
          <w:szCs w:val="24"/>
        </w:rPr>
        <w:t>przyjmuje się</w:t>
      </w:r>
      <w:r w:rsidRPr="00A42E41">
        <w:rPr>
          <w:sz w:val="24"/>
          <w:szCs w:val="24"/>
        </w:rPr>
        <w:t xml:space="preserve">, że proces implementacji powinien obejmować wszystkie postanowienia Wytycznych ONZ, a </w:t>
      </w:r>
      <w:r w:rsidRPr="001B7BBF">
        <w:rPr>
          <w:sz w:val="24"/>
          <w:szCs w:val="24"/>
        </w:rPr>
        <w:t>wszystkie trzy ich filary</w:t>
      </w:r>
      <w:r w:rsidRPr="00A42E41">
        <w:rPr>
          <w:sz w:val="24"/>
          <w:szCs w:val="24"/>
        </w:rPr>
        <w:t xml:space="preserve"> są równie ważne. Podobnie jak Wytyczne ONZ, niniejszą Rekomendację stosuje się do wszystkich przedsiębiorstw, zarówno </w:t>
      </w:r>
      <w:r w:rsidRPr="00A42E41">
        <w:rPr>
          <w:sz w:val="24"/>
          <w:szCs w:val="24"/>
        </w:rPr>
        <w:lastRenderedPageBreak/>
        <w:t xml:space="preserve">ponadnarodowych </w:t>
      </w:r>
      <w:r>
        <w:rPr>
          <w:sz w:val="24"/>
          <w:szCs w:val="24"/>
        </w:rPr>
        <w:t xml:space="preserve">jak </w:t>
      </w:r>
      <w:r w:rsidRPr="00A42E41">
        <w:rPr>
          <w:sz w:val="24"/>
          <w:szCs w:val="24"/>
        </w:rPr>
        <w:t>i innych, niezależnie od ich wielkości, branży, lokalizacji, własności i struktury. Mimo że Rekomendacja nie jest prawnie wiążącym instrumentem, a państwa członkowskie są</w:t>
      </w:r>
      <w:r>
        <w:rPr>
          <w:sz w:val="24"/>
          <w:szCs w:val="24"/>
        </w:rPr>
        <w:t xml:space="preserve"> nią związane</w:t>
      </w:r>
      <w:r w:rsidRPr="00A42E41">
        <w:rPr>
          <w:sz w:val="24"/>
          <w:szCs w:val="24"/>
        </w:rPr>
        <w:t xml:space="preserve"> jedynie w zakresie, w </w:t>
      </w:r>
      <w:r>
        <w:rPr>
          <w:sz w:val="24"/>
          <w:szCs w:val="24"/>
        </w:rPr>
        <w:t>jakim</w:t>
      </w:r>
      <w:r w:rsidRPr="00A42E41">
        <w:rPr>
          <w:sz w:val="24"/>
          <w:szCs w:val="24"/>
        </w:rPr>
        <w:t xml:space="preserve"> ratyfikowały instrumenty, na których opierają się Wytyczne, </w:t>
      </w:r>
      <w:r w:rsidRPr="00A42E41">
        <w:rPr>
          <w:sz w:val="24"/>
          <w:szCs w:val="24"/>
          <w:u w:val="single"/>
        </w:rPr>
        <w:t>paragraf 1 Rekomendacji</w:t>
      </w:r>
      <w:r w:rsidRPr="00A42E41">
        <w:rPr>
          <w:sz w:val="24"/>
          <w:szCs w:val="24"/>
        </w:rPr>
        <w:t xml:space="preserve"> zachęca rządy państw członkowskich do </w:t>
      </w:r>
      <w:r>
        <w:rPr>
          <w:sz w:val="24"/>
          <w:szCs w:val="24"/>
        </w:rPr>
        <w:t>przeprowadzania przeglądu zgodności</w:t>
      </w:r>
      <w:r w:rsidRPr="00A42E41">
        <w:rPr>
          <w:sz w:val="24"/>
          <w:szCs w:val="24"/>
        </w:rPr>
        <w:t xml:space="preserve"> ich ustawodawstw</w:t>
      </w:r>
      <w:r>
        <w:rPr>
          <w:sz w:val="24"/>
          <w:szCs w:val="24"/>
        </w:rPr>
        <w:t>a</w:t>
      </w:r>
      <w:r w:rsidRPr="00A42E41">
        <w:rPr>
          <w:sz w:val="24"/>
          <w:szCs w:val="24"/>
        </w:rPr>
        <w:t xml:space="preserve"> krajowe</w:t>
      </w:r>
      <w:r>
        <w:rPr>
          <w:sz w:val="24"/>
          <w:szCs w:val="24"/>
        </w:rPr>
        <w:t>go</w:t>
      </w:r>
      <w:r w:rsidRPr="00A42E41">
        <w:rPr>
          <w:sz w:val="24"/>
          <w:szCs w:val="24"/>
        </w:rPr>
        <w:t xml:space="preserve"> i praktyk</w:t>
      </w:r>
      <w:r>
        <w:rPr>
          <w:sz w:val="24"/>
          <w:szCs w:val="24"/>
        </w:rPr>
        <w:t>i</w:t>
      </w:r>
      <w:r w:rsidRPr="00A42E41">
        <w:rPr>
          <w:sz w:val="24"/>
          <w:szCs w:val="24"/>
        </w:rPr>
        <w:t xml:space="preserve"> z zaleceniami przedstawionymi w załączniku</w:t>
      </w:r>
      <w:r>
        <w:rPr>
          <w:sz w:val="24"/>
          <w:szCs w:val="24"/>
        </w:rPr>
        <w:t xml:space="preserve"> do Rekomendacji</w:t>
      </w:r>
      <w:r w:rsidRPr="00A42E41">
        <w:rPr>
          <w:sz w:val="24"/>
          <w:szCs w:val="24"/>
        </w:rPr>
        <w:t xml:space="preserve">. W </w:t>
      </w:r>
      <w:r w:rsidRPr="00A42E41">
        <w:rPr>
          <w:sz w:val="24"/>
          <w:szCs w:val="24"/>
          <w:u w:val="single"/>
        </w:rPr>
        <w:t>paragrafie 3 Rekomendacji</w:t>
      </w:r>
      <w:r w:rsidRPr="00A42E41">
        <w:rPr>
          <w:sz w:val="24"/>
          <w:szCs w:val="24"/>
        </w:rPr>
        <w:t xml:space="preserve"> zachęca się również państwa członkowskie do dzielenia się między sobą dobrymi praktykami krajowymi dotyczącymi implementacji Rekomendacji.</w:t>
      </w:r>
    </w:p>
    <w:p w:rsidR="00ED1D8D" w:rsidRDefault="00ED1D8D" w:rsidP="00E7396B">
      <w:pPr>
        <w:pStyle w:val="Akapitzlist"/>
        <w:spacing w:before="120" w:after="120" w:line="240" w:lineRule="auto"/>
        <w:ind w:left="567"/>
        <w:contextualSpacing w:val="0"/>
        <w:jc w:val="both"/>
        <w:rPr>
          <w:i/>
          <w:sz w:val="24"/>
          <w:szCs w:val="24"/>
        </w:rPr>
      </w:pPr>
    </w:p>
    <w:p w:rsidR="00591EC1" w:rsidRPr="00A42E41" w:rsidRDefault="00591EC1" w:rsidP="00E7396B">
      <w:pPr>
        <w:pStyle w:val="Akapitzlist"/>
        <w:spacing w:before="120" w:after="120" w:line="240" w:lineRule="auto"/>
        <w:ind w:left="567"/>
        <w:contextualSpacing w:val="0"/>
        <w:jc w:val="both"/>
        <w:rPr>
          <w:i/>
          <w:sz w:val="24"/>
          <w:szCs w:val="24"/>
        </w:rPr>
      </w:pPr>
      <w:r w:rsidRPr="00A42E41">
        <w:rPr>
          <w:i/>
          <w:sz w:val="24"/>
          <w:szCs w:val="24"/>
        </w:rPr>
        <w:t>Rozpowszechnianie Rekomendacji i działania następcze</w:t>
      </w:r>
    </w:p>
    <w:p w:rsidR="00591EC1" w:rsidRPr="00A42E41" w:rsidRDefault="00591EC1" w:rsidP="00E7396B">
      <w:pPr>
        <w:pStyle w:val="Akapitzlist"/>
        <w:numPr>
          <w:ilvl w:val="0"/>
          <w:numId w:val="19"/>
        </w:numPr>
        <w:spacing w:before="120" w:after="120" w:line="240" w:lineRule="auto"/>
        <w:ind w:left="567"/>
        <w:contextualSpacing w:val="0"/>
        <w:jc w:val="both"/>
        <w:rPr>
          <w:sz w:val="24"/>
          <w:szCs w:val="24"/>
        </w:rPr>
      </w:pPr>
      <w:r>
        <w:rPr>
          <w:sz w:val="24"/>
          <w:szCs w:val="24"/>
        </w:rPr>
        <w:t>P</w:t>
      </w:r>
      <w:r w:rsidRPr="00A42E41">
        <w:rPr>
          <w:sz w:val="24"/>
          <w:szCs w:val="24"/>
        </w:rPr>
        <w:t>aństwa członkowskie</w:t>
      </w:r>
      <w:r>
        <w:rPr>
          <w:sz w:val="24"/>
          <w:szCs w:val="24"/>
        </w:rPr>
        <w:t xml:space="preserve"> zachęca się ponadto</w:t>
      </w:r>
      <w:r w:rsidRPr="00A42E41">
        <w:rPr>
          <w:sz w:val="24"/>
          <w:szCs w:val="24"/>
        </w:rPr>
        <w:t xml:space="preserve"> do zapewnienia, poprzez odpowiednie środki i działania, szerokiego i skutecznego rozpowszechniania niniejszego instrumentu wśród właściwych organów i zainteresowanych stron, takich jak przedsiębiorstwa, sieci sektora prywatnego, krajowe instytucje praw człowieka, organizacje pozarządowe i związki zawodowe. </w:t>
      </w:r>
      <w:r>
        <w:rPr>
          <w:sz w:val="24"/>
          <w:szCs w:val="24"/>
        </w:rPr>
        <w:t>W tym celu</w:t>
      </w:r>
      <w:r w:rsidRPr="00A42E41">
        <w:rPr>
          <w:sz w:val="24"/>
          <w:szCs w:val="24"/>
          <w:u w:val="single"/>
        </w:rPr>
        <w:t xml:space="preserve"> paragraf 2 Rekomendacji</w:t>
      </w:r>
      <w:r w:rsidRPr="00A42E41">
        <w:rPr>
          <w:sz w:val="24"/>
          <w:szCs w:val="24"/>
        </w:rPr>
        <w:t xml:space="preserve"> </w:t>
      </w:r>
      <w:r>
        <w:rPr>
          <w:sz w:val="24"/>
          <w:szCs w:val="24"/>
        </w:rPr>
        <w:t xml:space="preserve">zachęca państwa członkowskie </w:t>
      </w:r>
      <w:r w:rsidRPr="00A42E41">
        <w:rPr>
          <w:sz w:val="24"/>
          <w:szCs w:val="24"/>
        </w:rPr>
        <w:t>do przetłumaczenia</w:t>
      </w:r>
      <w:r>
        <w:rPr>
          <w:sz w:val="24"/>
          <w:szCs w:val="24"/>
        </w:rPr>
        <w:t xml:space="preserve"> (jeżeli to konieczne)</w:t>
      </w:r>
      <w:r w:rsidRPr="00A42E41">
        <w:rPr>
          <w:sz w:val="24"/>
          <w:szCs w:val="24"/>
        </w:rPr>
        <w:t xml:space="preserve"> Rekomendacji i załączonych zasad na języki inne niż urzędowe Rady Europy (angielski i francuski). Państwa członkowskie, które przyjęły już Krajowe Plany Działania w zakresie biznesu i praw człowieka (zob. paragraf 24 niniejszego Memorandum </w:t>
      </w:r>
      <w:r>
        <w:rPr>
          <w:sz w:val="24"/>
          <w:szCs w:val="24"/>
        </w:rPr>
        <w:t>w</w:t>
      </w:r>
      <w:r w:rsidRPr="00A42E41">
        <w:rPr>
          <w:sz w:val="24"/>
          <w:szCs w:val="24"/>
        </w:rPr>
        <w:t>yjaśniającego)</w:t>
      </w:r>
      <w:r>
        <w:rPr>
          <w:sz w:val="24"/>
          <w:szCs w:val="24"/>
        </w:rPr>
        <w:t>,</w:t>
      </w:r>
      <w:r w:rsidRPr="00A42E41">
        <w:rPr>
          <w:sz w:val="24"/>
          <w:szCs w:val="24"/>
        </w:rPr>
        <w:t xml:space="preserve"> zapewniły również tłumaczenie innych dokumentów o kluczowym znaczeniu, takich jak Wytyczne ONZ (dostępne już w języku angielskim, francuskim, rosyjski</w:t>
      </w:r>
      <w:r>
        <w:rPr>
          <w:sz w:val="24"/>
          <w:szCs w:val="24"/>
        </w:rPr>
        <w:t>m</w:t>
      </w:r>
      <w:r w:rsidRPr="00A42E41">
        <w:rPr>
          <w:sz w:val="24"/>
          <w:szCs w:val="24"/>
        </w:rPr>
        <w:t>, niemiecki</w:t>
      </w:r>
      <w:r>
        <w:rPr>
          <w:sz w:val="24"/>
          <w:szCs w:val="24"/>
        </w:rPr>
        <w:t>m</w:t>
      </w:r>
      <w:r w:rsidRPr="00A42E41">
        <w:rPr>
          <w:sz w:val="24"/>
          <w:szCs w:val="24"/>
        </w:rPr>
        <w:t>, hiszpański</w:t>
      </w:r>
      <w:r>
        <w:rPr>
          <w:sz w:val="24"/>
          <w:szCs w:val="24"/>
        </w:rPr>
        <w:t>m</w:t>
      </w:r>
      <w:r w:rsidRPr="00A42E41">
        <w:rPr>
          <w:sz w:val="24"/>
          <w:szCs w:val="24"/>
        </w:rPr>
        <w:t xml:space="preserve"> i portugalski</w:t>
      </w:r>
      <w:r>
        <w:rPr>
          <w:sz w:val="24"/>
          <w:szCs w:val="24"/>
        </w:rPr>
        <w:t>m</w:t>
      </w:r>
      <w:r w:rsidRPr="00A42E41">
        <w:rPr>
          <w:sz w:val="24"/>
          <w:szCs w:val="24"/>
        </w:rPr>
        <w:t>) oraz Wytyczne dla przedsiębiorstw wielonarodowych Organizacji Współpracy Gospodarczej i Rozwoju (dostępne już w czternastu językach państw członkowskich Rady Europy).</w:t>
      </w:r>
    </w:p>
    <w:p w:rsidR="00591EC1" w:rsidRPr="00A42E41" w:rsidRDefault="00591EC1" w:rsidP="00E7396B">
      <w:pPr>
        <w:pStyle w:val="Akapitzlist"/>
        <w:numPr>
          <w:ilvl w:val="0"/>
          <w:numId w:val="19"/>
        </w:numPr>
        <w:spacing w:before="120" w:after="120" w:line="240" w:lineRule="auto"/>
        <w:ind w:left="567"/>
        <w:contextualSpacing w:val="0"/>
        <w:jc w:val="both"/>
        <w:rPr>
          <w:sz w:val="24"/>
          <w:szCs w:val="24"/>
        </w:rPr>
      </w:pPr>
      <w:r w:rsidRPr="00A42E41">
        <w:rPr>
          <w:sz w:val="24"/>
          <w:szCs w:val="24"/>
        </w:rPr>
        <w:t xml:space="preserve">W związku z dalszymi działaniami odnośnie </w:t>
      </w:r>
      <w:r>
        <w:rPr>
          <w:sz w:val="24"/>
          <w:szCs w:val="24"/>
        </w:rPr>
        <w:t xml:space="preserve">do </w:t>
      </w:r>
      <w:r w:rsidRPr="00A42E41">
        <w:rPr>
          <w:sz w:val="24"/>
          <w:szCs w:val="24"/>
        </w:rPr>
        <w:t>Rekomendacji zachęca się rządy państw członkowskich do sprawdzenia stanu implementacji Rekomendacji w ramach Komitetu Ministrów nie później niż pięć lat po jej przyjęciu, z udziałem wszystkich zainteresowanych stron. Choć, co do zasady, proces działań następczych jest otwarty i może przybierać różne formy odpowiednio</w:t>
      </w:r>
      <w:r>
        <w:rPr>
          <w:sz w:val="24"/>
          <w:szCs w:val="24"/>
        </w:rPr>
        <w:t xml:space="preserve"> do uwarunkowań</w:t>
      </w:r>
      <w:r w:rsidRPr="00A42E41">
        <w:rPr>
          <w:sz w:val="24"/>
          <w:szCs w:val="24"/>
        </w:rPr>
        <w:t xml:space="preserve">, poprzednie rekomendacje zostały poddane ponownej ocenie </w:t>
      </w:r>
      <w:r>
        <w:rPr>
          <w:sz w:val="24"/>
          <w:szCs w:val="24"/>
        </w:rPr>
        <w:t>po</w:t>
      </w:r>
      <w:r w:rsidRPr="00A42E41">
        <w:rPr>
          <w:sz w:val="24"/>
          <w:szCs w:val="24"/>
        </w:rPr>
        <w:t>przez wysłanie</w:t>
      </w:r>
      <w:r>
        <w:rPr>
          <w:sz w:val="24"/>
          <w:szCs w:val="24"/>
        </w:rPr>
        <w:t xml:space="preserve"> </w:t>
      </w:r>
      <w:r w:rsidRPr="00A42E41">
        <w:rPr>
          <w:sz w:val="24"/>
          <w:szCs w:val="24"/>
        </w:rPr>
        <w:t>państw</w:t>
      </w:r>
      <w:r>
        <w:rPr>
          <w:sz w:val="24"/>
          <w:szCs w:val="24"/>
        </w:rPr>
        <w:t>om</w:t>
      </w:r>
      <w:r w:rsidRPr="00A42E41">
        <w:rPr>
          <w:sz w:val="24"/>
          <w:szCs w:val="24"/>
        </w:rPr>
        <w:t xml:space="preserve"> członkowski</w:t>
      </w:r>
      <w:r>
        <w:rPr>
          <w:sz w:val="24"/>
          <w:szCs w:val="24"/>
        </w:rPr>
        <w:t>m</w:t>
      </w:r>
      <w:r w:rsidRPr="00A42E41">
        <w:rPr>
          <w:sz w:val="24"/>
          <w:szCs w:val="24"/>
        </w:rPr>
        <w:t xml:space="preserve"> kwestionariuszy dotyczących sposob</w:t>
      </w:r>
      <w:r>
        <w:rPr>
          <w:sz w:val="24"/>
          <w:szCs w:val="24"/>
        </w:rPr>
        <w:t>ów</w:t>
      </w:r>
      <w:r w:rsidRPr="00A42E41">
        <w:rPr>
          <w:sz w:val="24"/>
          <w:szCs w:val="24"/>
        </w:rPr>
        <w:t xml:space="preserve"> oraz skutk</w:t>
      </w:r>
      <w:r>
        <w:rPr>
          <w:sz w:val="24"/>
          <w:szCs w:val="24"/>
        </w:rPr>
        <w:t>ów</w:t>
      </w:r>
      <w:r w:rsidRPr="00A42E41">
        <w:rPr>
          <w:sz w:val="24"/>
          <w:szCs w:val="24"/>
        </w:rPr>
        <w:t xml:space="preserve"> wdrożenia tych instrumentów. Odpowiedzi zostały opublikowane na stronie internetowej Rady Europy wraz z raportem podsumowującym</w:t>
      </w:r>
      <w:r>
        <w:rPr>
          <w:sz w:val="24"/>
          <w:szCs w:val="24"/>
        </w:rPr>
        <w:t>, który został</w:t>
      </w:r>
      <w:r w:rsidRPr="00A42E41">
        <w:rPr>
          <w:sz w:val="24"/>
          <w:szCs w:val="24"/>
        </w:rPr>
        <w:t xml:space="preserve"> opracowany przez Sekretariat, a następnie przyjęty przez CDDH z myślą o przekazaniu do Komitetu Ministrów. </w:t>
      </w:r>
      <w:r>
        <w:rPr>
          <w:sz w:val="24"/>
          <w:szCs w:val="24"/>
        </w:rPr>
        <w:t>Ocena</w:t>
      </w:r>
      <w:r w:rsidRPr="00A42E41">
        <w:rPr>
          <w:sz w:val="24"/>
          <w:szCs w:val="24"/>
        </w:rPr>
        <w:t xml:space="preserve"> implementacji niniejszej Rekomendacji powinn</w:t>
      </w:r>
      <w:r>
        <w:rPr>
          <w:sz w:val="24"/>
          <w:szCs w:val="24"/>
        </w:rPr>
        <w:t>a</w:t>
      </w:r>
      <w:r w:rsidRPr="00A42E41">
        <w:rPr>
          <w:sz w:val="24"/>
          <w:szCs w:val="24"/>
        </w:rPr>
        <w:t xml:space="preserve"> odbywać się przy udziale wszystkich zainteresowanych stron, w tym organizacji biznesowych i przedsiębiorstw, krajowych instytucji praw człowieka, związków zawodowych i organizacji pozarządowych, któr</w:t>
      </w:r>
      <w:r>
        <w:rPr>
          <w:sz w:val="24"/>
          <w:szCs w:val="24"/>
        </w:rPr>
        <w:t>e</w:t>
      </w:r>
      <w:r w:rsidRPr="00A42E41">
        <w:rPr>
          <w:sz w:val="24"/>
          <w:szCs w:val="24"/>
        </w:rPr>
        <w:t xml:space="preserve"> powinn</w:t>
      </w:r>
      <w:r>
        <w:rPr>
          <w:sz w:val="24"/>
          <w:szCs w:val="24"/>
        </w:rPr>
        <w:t>y</w:t>
      </w:r>
      <w:r w:rsidRPr="00A42E41">
        <w:rPr>
          <w:sz w:val="24"/>
          <w:szCs w:val="24"/>
        </w:rPr>
        <w:t xml:space="preserve"> </w:t>
      </w:r>
      <w:r>
        <w:rPr>
          <w:sz w:val="24"/>
          <w:szCs w:val="24"/>
        </w:rPr>
        <w:t>mieć</w:t>
      </w:r>
      <w:r w:rsidRPr="00A42E41">
        <w:rPr>
          <w:sz w:val="24"/>
          <w:szCs w:val="24"/>
        </w:rPr>
        <w:t xml:space="preserve"> możliwość udziału w procesie implementacji</w:t>
      </w:r>
      <w:r>
        <w:rPr>
          <w:sz w:val="24"/>
          <w:szCs w:val="24"/>
        </w:rPr>
        <w:t xml:space="preserve"> na każdym jego etapie</w:t>
      </w:r>
      <w:r w:rsidRPr="00A42E41">
        <w:rPr>
          <w:sz w:val="24"/>
          <w:szCs w:val="24"/>
        </w:rPr>
        <w:t>. Przyjmuje się również, że wymiana najlepszych praktyk powinna być wspierana w procesie dalszych działań.</w:t>
      </w:r>
    </w:p>
    <w:p w:rsidR="00277B72" w:rsidRPr="00A42E41" w:rsidRDefault="00277B72" w:rsidP="00E7396B">
      <w:pPr>
        <w:pStyle w:val="Akapitzlist"/>
        <w:spacing w:before="120" w:after="120" w:line="240" w:lineRule="auto"/>
        <w:ind w:left="1080"/>
        <w:contextualSpacing w:val="0"/>
        <w:jc w:val="both"/>
        <w:rPr>
          <w:i/>
          <w:sz w:val="24"/>
          <w:szCs w:val="24"/>
        </w:rPr>
      </w:pPr>
    </w:p>
    <w:p w:rsidR="00A52948" w:rsidRDefault="00A52948" w:rsidP="00E7396B">
      <w:pPr>
        <w:pStyle w:val="Akapitzlist"/>
        <w:spacing w:before="120" w:after="120" w:line="240" w:lineRule="auto"/>
        <w:ind w:left="567"/>
        <w:contextualSpacing w:val="0"/>
        <w:jc w:val="both"/>
        <w:rPr>
          <w:i/>
          <w:sz w:val="24"/>
          <w:szCs w:val="24"/>
        </w:rPr>
      </w:pPr>
    </w:p>
    <w:p w:rsidR="00A52948" w:rsidRDefault="00A52948" w:rsidP="00E7396B">
      <w:pPr>
        <w:pStyle w:val="Akapitzlist"/>
        <w:spacing w:before="120" w:after="120" w:line="240" w:lineRule="auto"/>
        <w:ind w:left="567"/>
        <w:contextualSpacing w:val="0"/>
        <w:jc w:val="both"/>
        <w:rPr>
          <w:i/>
          <w:sz w:val="24"/>
          <w:szCs w:val="24"/>
        </w:rPr>
      </w:pPr>
    </w:p>
    <w:p w:rsidR="00591EC1" w:rsidRPr="00FE4290" w:rsidRDefault="00591EC1" w:rsidP="00E7396B">
      <w:pPr>
        <w:pStyle w:val="Akapitzlist"/>
        <w:spacing w:before="120" w:after="120" w:line="240" w:lineRule="auto"/>
        <w:ind w:left="567"/>
        <w:contextualSpacing w:val="0"/>
        <w:jc w:val="both"/>
        <w:rPr>
          <w:i/>
          <w:sz w:val="24"/>
          <w:szCs w:val="24"/>
        </w:rPr>
      </w:pPr>
      <w:r w:rsidRPr="00FE4290">
        <w:rPr>
          <w:i/>
          <w:sz w:val="24"/>
          <w:szCs w:val="24"/>
        </w:rPr>
        <w:lastRenderedPageBreak/>
        <w:t>Definicja określenia „mający siedzibę w obrębie jurysdykcji”</w:t>
      </w:r>
    </w:p>
    <w:p w:rsidR="00591EC1" w:rsidRPr="00A42E41" w:rsidRDefault="00591EC1" w:rsidP="00E7396B">
      <w:pPr>
        <w:pStyle w:val="Akapitzlist"/>
        <w:numPr>
          <w:ilvl w:val="0"/>
          <w:numId w:val="19"/>
        </w:numPr>
        <w:spacing w:before="120" w:after="120" w:line="240" w:lineRule="auto"/>
        <w:ind w:left="567"/>
        <w:contextualSpacing w:val="0"/>
        <w:jc w:val="both"/>
        <w:rPr>
          <w:sz w:val="24"/>
          <w:szCs w:val="24"/>
        </w:rPr>
      </w:pPr>
      <w:r w:rsidRPr="00A42E41">
        <w:rPr>
          <w:sz w:val="24"/>
          <w:szCs w:val="24"/>
        </w:rPr>
        <w:t xml:space="preserve">Rekomendacja odnosi się w wielu paragrafach do siedziby przedsiębiorstw w obrębie jurysdykcji państw członkowskich Rady Europy. </w:t>
      </w:r>
      <w:r>
        <w:rPr>
          <w:sz w:val="24"/>
          <w:szCs w:val="24"/>
        </w:rPr>
        <w:t>W</w:t>
      </w:r>
      <w:r w:rsidRPr="00A42E41">
        <w:rPr>
          <w:sz w:val="24"/>
          <w:szCs w:val="24"/>
        </w:rPr>
        <w:t xml:space="preserve"> trakcie negocjacji w sprawie Rekomendacji</w:t>
      </w:r>
      <w:r>
        <w:rPr>
          <w:sz w:val="24"/>
          <w:szCs w:val="24"/>
        </w:rPr>
        <w:t xml:space="preserve"> przyjęto</w:t>
      </w:r>
      <w:r w:rsidRPr="00A42E41">
        <w:rPr>
          <w:sz w:val="24"/>
          <w:szCs w:val="24"/>
        </w:rPr>
        <w:t>, że</w:t>
      </w:r>
      <w:r>
        <w:rPr>
          <w:sz w:val="24"/>
          <w:szCs w:val="24"/>
        </w:rPr>
        <w:t xml:space="preserve"> za</w:t>
      </w:r>
      <w:r w:rsidRPr="00A42E41">
        <w:rPr>
          <w:sz w:val="24"/>
          <w:szCs w:val="24"/>
        </w:rPr>
        <w:t xml:space="preserve"> każd</w:t>
      </w:r>
      <w:r>
        <w:rPr>
          <w:sz w:val="24"/>
          <w:szCs w:val="24"/>
        </w:rPr>
        <w:t>ym razem, gdy jej treść</w:t>
      </w:r>
      <w:r w:rsidRPr="00A42E41">
        <w:rPr>
          <w:sz w:val="24"/>
          <w:szCs w:val="24"/>
        </w:rPr>
        <w:t xml:space="preserve"> odn</w:t>
      </w:r>
      <w:r>
        <w:rPr>
          <w:sz w:val="24"/>
          <w:szCs w:val="24"/>
        </w:rPr>
        <w:t>osi się do „</w:t>
      </w:r>
      <w:r w:rsidRPr="00A42E41">
        <w:rPr>
          <w:sz w:val="24"/>
          <w:szCs w:val="24"/>
        </w:rPr>
        <w:t>jurysdykcj</w:t>
      </w:r>
      <w:r>
        <w:rPr>
          <w:sz w:val="24"/>
          <w:szCs w:val="24"/>
        </w:rPr>
        <w:t>i”</w:t>
      </w:r>
      <w:r w:rsidRPr="00A42E41">
        <w:rPr>
          <w:sz w:val="24"/>
          <w:szCs w:val="24"/>
        </w:rPr>
        <w:t xml:space="preserve">, </w:t>
      </w:r>
      <w:r>
        <w:rPr>
          <w:sz w:val="24"/>
          <w:szCs w:val="24"/>
        </w:rPr>
        <w:t>termin ten ma</w:t>
      </w:r>
      <w:r w:rsidRPr="00A42E41">
        <w:rPr>
          <w:sz w:val="24"/>
          <w:szCs w:val="24"/>
        </w:rPr>
        <w:t xml:space="preserve"> takie samo znaczenie jak w art. 1 Konwencji o ochronie praw człowieka i podstawowych wolności</w:t>
      </w:r>
      <w:r>
        <w:rPr>
          <w:sz w:val="24"/>
          <w:szCs w:val="24"/>
        </w:rPr>
        <w:t xml:space="preserve"> (ETS nr 005, zwanej dalej „EKPC”</w:t>
      </w:r>
      <w:r w:rsidRPr="00A42E41">
        <w:rPr>
          <w:sz w:val="24"/>
          <w:szCs w:val="24"/>
        </w:rPr>
        <w:t xml:space="preserve">), </w:t>
      </w:r>
      <w:r>
        <w:rPr>
          <w:sz w:val="24"/>
          <w:szCs w:val="24"/>
        </w:rPr>
        <w:t>zgodnie ze</w:t>
      </w:r>
      <w:r w:rsidRPr="00A42E41">
        <w:rPr>
          <w:sz w:val="24"/>
          <w:szCs w:val="24"/>
        </w:rPr>
        <w:t xml:space="preserve"> stosowan</w:t>
      </w:r>
      <w:r>
        <w:rPr>
          <w:sz w:val="24"/>
          <w:szCs w:val="24"/>
        </w:rPr>
        <w:t>iem</w:t>
      </w:r>
      <w:r w:rsidRPr="00A42E41">
        <w:rPr>
          <w:sz w:val="24"/>
          <w:szCs w:val="24"/>
        </w:rPr>
        <w:t xml:space="preserve"> i interpret</w:t>
      </w:r>
      <w:r>
        <w:rPr>
          <w:sz w:val="24"/>
          <w:szCs w:val="24"/>
        </w:rPr>
        <w:t>acją</w:t>
      </w:r>
      <w:r w:rsidRPr="00A42E41">
        <w:rPr>
          <w:sz w:val="24"/>
          <w:szCs w:val="24"/>
        </w:rPr>
        <w:t xml:space="preserve"> Europejski</w:t>
      </w:r>
      <w:r>
        <w:rPr>
          <w:sz w:val="24"/>
          <w:szCs w:val="24"/>
        </w:rPr>
        <w:t>ego</w:t>
      </w:r>
      <w:r w:rsidRPr="00A42E41">
        <w:rPr>
          <w:sz w:val="24"/>
          <w:szCs w:val="24"/>
        </w:rPr>
        <w:t xml:space="preserve"> Trybunał</w:t>
      </w:r>
      <w:r>
        <w:rPr>
          <w:sz w:val="24"/>
          <w:szCs w:val="24"/>
        </w:rPr>
        <w:t>u</w:t>
      </w:r>
      <w:r w:rsidRPr="00A42E41">
        <w:rPr>
          <w:sz w:val="24"/>
          <w:szCs w:val="24"/>
        </w:rPr>
        <w:t xml:space="preserve"> Praw</w:t>
      </w:r>
      <w:r>
        <w:rPr>
          <w:sz w:val="24"/>
          <w:szCs w:val="24"/>
        </w:rPr>
        <w:t xml:space="preserve"> Człowieka. Ponadto określenie „</w:t>
      </w:r>
      <w:r w:rsidRPr="00A42E41">
        <w:rPr>
          <w:sz w:val="24"/>
          <w:szCs w:val="24"/>
        </w:rPr>
        <w:t>miejsce siedziby</w:t>
      </w:r>
      <w:r>
        <w:rPr>
          <w:sz w:val="24"/>
          <w:szCs w:val="24"/>
        </w:rPr>
        <w:t>”</w:t>
      </w:r>
      <w:r w:rsidRPr="00A42E41">
        <w:rPr>
          <w:sz w:val="24"/>
          <w:szCs w:val="24"/>
        </w:rPr>
        <w:t xml:space="preserve"> należy rozumieć w znaczeniu przyjętym w Rozporządzeniach UE Bruksela I (nr 1215/2012) i Rzym II (nr 864/2007, które definiują pojęcie „</w:t>
      </w:r>
      <w:r>
        <w:rPr>
          <w:sz w:val="24"/>
          <w:szCs w:val="24"/>
        </w:rPr>
        <w:t>miejsca siedziby”</w:t>
      </w:r>
      <w:r w:rsidRPr="00A42E41">
        <w:rPr>
          <w:sz w:val="24"/>
          <w:szCs w:val="24"/>
        </w:rPr>
        <w:t xml:space="preserve"> jako „statutową siedzibę</w:t>
      </w:r>
      <w:r>
        <w:rPr>
          <w:sz w:val="24"/>
          <w:szCs w:val="24"/>
        </w:rPr>
        <w:t>”</w:t>
      </w:r>
      <w:r w:rsidRPr="00A42E41">
        <w:rPr>
          <w:sz w:val="24"/>
          <w:szCs w:val="24"/>
        </w:rPr>
        <w:t>, „siedzibę zarządu” lub „główne miejsce prowadzenia działalności</w:t>
      </w:r>
      <w:r>
        <w:rPr>
          <w:sz w:val="24"/>
          <w:szCs w:val="24"/>
        </w:rPr>
        <w:t>”</w:t>
      </w:r>
      <w:r w:rsidRPr="00A42E41">
        <w:rPr>
          <w:sz w:val="24"/>
          <w:szCs w:val="24"/>
        </w:rPr>
        <w:t xml:space="preserve"> przedsiębiorstwa.</w:t>
      </w:r>
    </w:p>
    <w:p w:rsidR="00591EC1" w:rsidRPr="00A42E41" w:rsidRDefault="00591EC1" w:rsidP="00E7396B">
      <w:pPr>
        <w:pStyle w:val="Akapitzlist"/>
        <w:spacing w:before="120" w:after="120" w:line="240" w:lineRule="auto"/>
        <w:ind w:left="1080"/>
        <w:contextualSpacing w:val="0"/>
        <w:jc w:val="both"/>
        <w:rPr>
          <w:sz w:val="24"/>
          <w:szCs w:val="24"/>
        </w:rPr>
      </w:pPr>
    </w:p>
    <w:p w:rsidR="00591EC1" w:rsidRPr="00FE4290" w:rsidRDefault="00591EC1" w:rsidP="00E7396B">
      <w:pPr>
        <w:pStyle w:val="Akapitzlist"/>
        <w:spacing w:before="120" w:after="120" w:line="240" w:lineRule="auto"/>
        <w:ind w:left="567"/>
        <w:contextualSpacing w:val="0"/>
        <w:jc w:val="both"/>
        <w:rPr>
          <w:i/>
          <w:sz w:val="24"/>
          <w:szCs w:val="24"/>
        </w:rPr>
      </w:pPr>
      <w:r w:rsidRPr="00FE4290">
        <w:rPr>
          <w:i/>
          <w:sz w:val="24"/>
          <w:szCs w:val="24"/>
        </w:rPr>
        <w:t>Trzy filary Wytycznych ONZ w kontekście Rekomendacji</w:t>
      </w:r>
    </w:p>
    <w:p w:rsidR="00591EC1" w:rsidRPr="00A42E41" w:rsidRDefault="00591EC1" w:rsidP="00E7396B">
      <w:pPr>
        <w:pStyle w:val="Akapitzlist"/>
        <w:numPr>
          <w:ilvl w:val="0"/>
          <w:numId w:val="19"/>
        </w:numPr>
        <w:spacing w:before="120" w:after="120" w:line="240" w:lineRule="auto"/>
        <w:ind w:left="567"/>
        <w:contextualSpacing w:val="0"/>
        <w:jc w:val="both"/>
        <w:rPr>
          <w:sz w:val="24"/>
          <w:szCs w:val="24"/>
        </w:rPr>
      </w:pPr>
      <w:r w:rsidRPr="00A42E41">
        <w:rPr>
          <w:sz w:val="24"/>
          <w:szCs w:val="24"/>
        </w:rPr>
        <w:t xml:space="preserve">W zakresie </w:t>
      </w:r>
      <w:r w:rsidRPr="008E76D2">
        <w:rPr>
          <w:sz w:val="24"/>
          <w:szCs w:val="24"/>
          <w:u w:val="single"/>
        </w:rPr>
        <w:t>pierwszego filaru</w:t>
      </w:r>
      <w:r w:rsidRPr="00A42E41">
        <w:rPr>
          <w:sz w:val="24"/>
          <w:szCs w:val="24"/>
        </w:rPr>
        <w:t xml:space="preserve"> Wytycznych ONZ,</w:t>
      </w:r>
      <w:r>
        <w:rPr>
          <w:sz w:val="24"/>
          <w:szCs w:val="24"/>
        </w:rPr>
        <w:t xml:space="preserve"> </w:t>
      </w:r>
      <w:r w:rsidRPr="00A42E41">
        <w:rPr>
          <w:sz w:val="24"/>
          <w:szCs w:val="24"/>
        </w:rPr>
        <w:t xml:space="preserve">który dotyczy obowiązku państw członkowskich ochrony praw człowieka, Rekomendacja ma na celu udzielenie wskazówek, w jaki sposób obowiązek ten odnosi się do kontekstu europejskiego. </w:t>
      </w:r>
      <w:r>
        <w:rPr>
          <w:sz w:val="24"/>
          <w:szCs w:val="24"/>
        </w:rPr>
        <w:t>S</w:t>
      </w:r>
      <w:r w:rsidRPr="00A42E41">
        <w:rPr>
          <w:sz w:val="24"/>
          <w:szCs w:val="24"/>
        </w:rPr>
        <w:t xml:space="preserve">zczególne znaczenie w tym </w:t>
      </w:r>
      <w:r>
        <w:rPr>
          <w:sz w:val="24"/>
          <w:szCs w:val="24"/>
        </w:rPr>
        <w:t>względzie mają</w:t>
      </w:r>
      <w:r w:rsidRPr="00A42E41">
        <w:rPr>
          <w:sz w:val="24"/>
          <w:szCs w:val="24"/>
        </w:rPr>
        <w:t xml:space="preserve"> Konwencja o ochronie praw człowieka i podstawowych wolności, </w:t>
      </w:r>
      <w:r>
        <w:rPr>
          <w:sz w:val="24"/>
          <w:szCs w:val="24"/>
        </w:rPr>
        <w:t>w świetle praktyki</w:t>
      </w:r>
      <w:r w:rsidRPr="00A42E41">
        <w:rPr>
          <w:sz w:val="24"/>
          <w:szCs w:val="24"/>
        </w:rPr>
        <w:t xml:space="preserve"> stosowan</w:t>
      </w:r>
      <w:r>
        <w:rPr>
          <w:sz w:val="24"/>
          <w:szCs w:val="24"/>
        </w:rPr>
        <w:t>i</w:t>
      </w:r>
      <w:r w:rsidRPr="00A42E41">
        <w:rPr>
          <w:sz w:val="24"/>
          <w:szCs w:val="24"/>
        </w:rPr>
        <w:t>a i interpreta</w:t>
      </w:r>
      <w:r>
        <w:rPr>
          <w:sz w:val="24"/>
          <w:szCs w:val="24"/>
        </w:rPr>
        <w:t>cji</w:t>
      </w:r>
      <w:r w:rsidRPr="00A42E41">
        <w:rPr>
          <w:sz w:val="24"/>
          <w:szCs w:val="24"/>
        </w:rPr>
        <w:t xml:space="preserve"> Europejski</w:t>
      </w:r>
      <w:r>
        <w:rPr>
          <w:sz w:val="24"/>
          <w:szCs w:val="24"/>
        </w:rPr>
        <w:t>ego</w:t>
      </w:r>
      <w:r w:rsidRPr="00A42E41">
        <w:rPr>
          <w:sz w:val="24"/>
          <w:szCs w:val="24"/>
        </w:rPr>
        <w:t xml:space="preserve"> Trybunał</w:t>
      </w:r>
      <w:r>
        <w:rPr>
          <w:sz w:val="24"/>
          <w:szCs w:val="24"/>
        </w:rPr>
        <w:t>u</w:t>
      </w:r>
      <w:r w:rsidRPr="00A42E41">
        <w:rPr>
          <w:sz w:val="24"/>
          <w:szCs w:val="24"/>
        </w:rPr>
        <w:t xml:space="preserve"> Praw Człowieka, </w:t>
      </w:r>
      <w:r>
        <w:rPr>
          <w:sz w:val="24"/>
          <w:szCs w:val="24"/>
        </w:rPr>
        <w:t>oraz</w:t>
      </w:r>
      <w:r w:rsidRPr="00A42E41">
        <w:rPr>
          <w:sz w:val="24"/>
          <w:szCs w:val="24"/>
        </w:rPr>
        <w:t xml:space="preserve"> Europejska Karta Społeczna (zrewidowana) (ETS nr 35 i 163) z należytym uwzględnieniem wniosków i decyzji wydanych przez Europejski Komitet Praw Społecznych. Środki te są opisane szerzej w części II załącznika do Rekomendacji. Ponadto w dalszych częściach niniejszego Memorandum </w:t>
      </w:r>
      <w:r>
        <w:rPr>
          <w:sz w:val="24"/>
          <w:szCs w:val="24"/>
        </w:rPr>
        <w:t>w</w:t>
      </w:r>
      <w:r w:rsidRPr="00A42E41">
        <w:rPr>
          <w:sz w:val="24"/>
          <w:szCs w:val="24"/>
        </w:rPr>
        <w:t>yjaśniającego będą pojawiały się odniesienia do innych instrumentów europejskich i międzynarodowych. Rekomendacja czerpie inspiracje również z rezolucji Zgromadzenia Parlamentarnego 1757 (2010) i Rekomendacji 1936 (2010), przyjętych w dniu 6 października 2010 r., które zostały poświęcone kwestii praw człowieka i biznesu.</w:t>
      </w:r>
    </w:p>
    <w:p w:rsidR="00591EC1" w:rsidRPr="00A42E41" w:rsidRDefault="00591EC1" w:rsidP="00E7396B">
      <w:pPr>
        <w:pStyle w:val="Akapitzlist"/>
        <w:numPr>
          <w:ilvl w:val="0"/>
          <w:numId w:val="19"/>
        </w:numPr>
        <w:spacing w:before="120" w:after="120" w:line="240" w:lineRule="auto"/>
        <w:ind w:left="567"/>
        <w:contextualSpacing w:val="0"/>
        <w:jc w:val="both"/>
        <w:rPr>
          <w:sz w:val="24"/>
          <w:szCs w:val="24"/>
        </w:rPr>
      </w:pPr>
      <w:r w:rsidRPr="008E76D2">
        <w:rPr>
          <w:sz w:val="24"/>
          <w:szCs w:val="24"/>
          <w:u w:val="single"/>
        </w:rPr>
        <w:t>Drugi filar</w:t>
      </w:r>
      <w:r w:rsidRPr="00A42E41">
        <w:rPr>
          <w:sz w:val="24"/>
          <w:szCs w:val="24"/>
        </w:rPr>
        <w:t xml:space="preserve"> Wytycznych ONZ dotyczy „roli przedsiębiorstw jako wyspecjalizowanych organów społecznych wykonujących specjal</w:t>
      </w:r>
      <w:r>
        <w:rPr>
          <w:sz w:val="24"/>
          <w:szCs w:val="24"/>
        </w:rPr>
        <w:t>istycz</w:t>
      </w:r>
      <w:r w:rsidRPr="00A42E41">
        <w:rPr>
          <w:sz w:val="24"/>
          <w:szCs w:val="24"/>
        </w:rPr>
        <w:t>ne</w:t>
      </w:r>
      <w:r>
        <w:rPr>
          <w:sz w:val="24"/>
          <w:szCs w:val="24"/>
        </w:rPr>
        <w:t xml:space="preserve"> </w:t>
      </w:r>
      <w:r w:rsidRPr="00A42E41">
        <w:rPr>
          <w:sz w:val="24"/>
          <w:szCs w:val="24"/>
        </w:rPr>
        <w:t>funkcje, które muszą być zgodne z obowiązującym prawem oraz</w:t>
      </w:r>
      <w:r>
        <w:rPr>
          <w:sz w:val="24"/>
          <w:szCs w:val="24"/>
        </w:rPr>
        <w:t xml:space="preserve"> przestrzegać</w:t>
      </w:r>
      <w:r w:rsidRPr="00A42E41">
        <w:rPr>
          <w:sz w:val="24"/>
          <w:szCs w:val="24"/>
        </w:rPr>
        <w:t xml:space="preserve"> </w:t>
      </w:r>
      <w:r>
        <w:rPr>
          <w:sz w:val="24"/>
          <w:szCs w:val="24"/>
        </w:rPr>
        <w:t>praw człowieka”</w:t>
      </w:r>
      <w:r w:rsidRPr="00A42E41">
        <w:rPr>
          <w:sz w:val="24"/>
          <w:szCs w:val="24"/>
        </w:rPr>
        <w:t xml:space="preserve"> (zasada ogólna (b) Wytycznych ONZ). </w:t>
      </w:r>
      <w:r>
        <w:rPr>
          <w:sz w:val="24"/>
          <w:szCs w:val="24"/>
        </w:rPr>
        <w:t>F</w:t>
      </w:r>
      <w:r w:rsidRPr="00A42E41">
        <w:rPr>
          <w:sz w:val="24"/>
          <w:szCs w:val="24"/>
        </w:rPr>
        <w:t xml:space="preserve">ilar </w:t>
      </w:r>
      <w:r>
        <w:rPr>
          <w:sz w:val="24"/>
          <w:szCs w:val="24"/>
        </w:rPr>
        <w:t>t</w:t>
      </w:r>
      <w:r w:rsidRPr="00A42E41">
        <w:rPr>
          <w:sz w:val="24"/>
          <w:szCs w:val="24"/>
        </w:rPr>
        <w:t xml:space="preserve">en odnosi się do odpowiedzialności przedsiębiorstw </w:t>
      </w:r>
      <w:r>
        <w:rPr>
          <w:sz w:val="24"/>
          <w:szCs w:val="24"/>
        </w:rPr>
        <w:t>w zakresie</w:t>
      </w:r>
      <w:r w:rsidRPr="00A42E41">
        <w:rPr>
          <w:sz w:val="24"/>
          <w:szCs w:val="24"/>
        </w:rPr>
        <w:t xml:space="preserve"> przestrzegani</w:t>
      </w:r>
      <w:r>
        <w:rPr>
          <w:sz w:val="24"/>
          <w:szCs w:val="24"/>
        </w:rPr>
        <w:t>a</w:t>
      </w:r>
      <w:r w:rsidRPr="00A42E41">
        <w:rPr>
          <w:sz w:val="24"/>
          <w:szCs w:val="24"/>
        </w:rPr>
        <w:t xml:space="preserve"> p</w:t>
      </w:r>
      <w:r>
        <w:rPr>
          <w:sz w:val="24"/>
          <w:szCs w:val="24"/>
        </w:rPr>
        <w:t xml:space="preserve">raw człowieka, co oznacza, że </w:t>
      </w:r>
      <w:r w:rsidRPr="00A42E41">
        <w:rPr>
          <w:sz w:val="24"/>
          <w:szCs w:val="24"/>
        </w:rPr>
        <w:t>powinny one unikać naruszania praw człowieka i wyeliminować negatywny wpływ w zakresie praw człowieka, który mogą wyw</w:t>
      </w:r>
      <w:r>
        <w:rPr>
          <w:sz w:val="24"/>
          <w:szCs w:val="24"/>
        </w:rPr>
        <w:t>ierać</w:t>
      </w:r>
      <w:r w:rsidRPr="00A42E41">
        <w:rPr>
          <w:sz w:val="24"/>
          <w:szCs w:val="24"/>
        </w:rPr>
        <w:t>. W tym kontekście należy zauważyć, że art. 15 b) Statutu Rady Europy (ETS nr 001) przewiduje możliwość wyda</w:t>
      </w:r>
      <w:r>
        <w:rPr>
          <w:sz w:val="24"/>
          <w:szCs w:val="24"/>
        </w:rPr>
        <w:t>wa</w:t>
      </w:r>
      <w:r w:rsidRPr="00A42E41">
        <w:rPr>
          <w:sz w:val="24"/>
          <w:szCs w:val="24"/>
        </w:rPr>
        <w:t xml:space="preserve">nia zaleceń Komitetu Ministrów dla państw członkowskich, ale nie </w:t>
      </w:r>
      <w:r>
        <w:rPr>
          <w:sz w:val="24"/>
          <w:szCs w:val="24"/>
        </w:rPr>
        <w:t>wobec</w:t>
      </w:r>
      <w:r w:rsidRPr="00A42E41">
        <w:rPr>
          <w:sz w:val="24"/>
          <w:szCs w:val="24"/>
        </w:rPr>
        <w:t xml:space="preserve"> podmiotów prywatnych. Z tego względu niniejsza Rekomendacja</w:t>
      </w:r>
      <w:r>
        <w:rPr>
          <w:sz w:val="24"/>
          <w:szCs w:val="24"/>
        </w:rPr>
        <w:t xml:space="preserve"> </w:t>
      </w:r>
      <w:r w:rsidRPr="00A42E41">
        <w:rPr>
          <w:sz w:val="24"/>
          <w:szCs w:val="24"/>
        </w:rPr>
        <w:t xml:space="preserve">odnosi się do drugiego filaru Wytycznych ONZ poprzez wydanie zaleceń na temat środków, które państwa członkowskie Rady Europy mogą podjąć w celu promowania odpowiedzialności przedsiębiorstw </w:t>
      </w:r>
      <w:r>
        <w:rPr>
          <w:sz w:val="24"/>
          <w:szCs w:val="24"/>
        </w:rPr>
        <w:t>w zakresie</w:t>
      </w:r>
      <w:r w:rsidRPr="00A42E41">
        <w:rPr>
          <w:sz w:val="24"/>
          <w:szCs w:val="24"/>
        </w:rPr>
        <w:t xml:space="preserve"> przestrzeganie praw człowieka. Środki te zostały omówione szerzej w części III załącznika do Rekomendacji.</w:t>
      </w:r>
    </w:p>
    <w:p w:rsidR="00591EC1" w:rsidRPr="00A42E41" w:rsidRDefault="00591EC1" w:rsidP="00E7396B">
      <w:pPr>
        <w:pStyle w:val="Akapitzlist"/>
        <w:numPr>
          <w:ilvl w:val="0"/>
          <w:numId w:val="19"/>
        </w:numPr>
        <w:spacing w:before="120" w:after="120" w:line="240" w:lineRule="auto"/>
        <w:ind w:left="567"/>
        <w:contextualSpacing w:val="0"/>
        <w:jc w:val="both"/>
        <w:rPr>
          <w:sz w:val="24"/>
          <w:szCs w:val="24"/>
        </w:rPr>
      </w:pPr>
      <w:r w:rsidRPr="00A42E41">
        <w:rPr>
          <w:sz w:val="24"/>
          <w:szCs w:val="24"/>
        </w:rPr>
        <w:t xml:space="preserve">Zgodnie z sugestią Komitetu Ministrów zawartą w zaleceniach wydanych na 1160 posiedzeniu w dniu 13 stycznia 2013 r. w niniejszej Rekomendacji szczególny nacisk został położony na dostęp do wymiaru sprawiedliwości. Jest to obszar, w którym Rada Europy zgromadziła duże doświadczenie w ciągu ostatnich dekad </w:t>
      </w:r>
      <w:r>
        <w:rPr>
          <w:sz w:val="24"/>
          <w:szCs w:val="24"/>
        </w:rPr>
        <w:t>po</w:t>
      </w:r>
      <w:r w:rsidRPr="00A42E41">
        <w:rPr>
          <w:sz w:val="24"/>
          <w:szCs w:val="24"/>
        </w:rPr>
        <w:t xml:space="preserve">przez orzecznictwo Europejskiego Trybunału Praw Człowieka, konkluzje i decyzje Europejskiego Komitetu Praw Społecznych, pracę Europejskiej Komisji na rzecz Efektywności Wymiaru </w:t>
      </w:r>
      <w:r w:rsidRPr="00A42E41">
        <w:rPr>
          <w:sz w:val="24"/>
          <w:szCs w:val="24"/>
        </w:rPr>
        <w:lastRenderedPageBreak/>
        <w:t xml:space="preserve">Sprawiedliwości </w:t>
      </w:r>
      <w:r>
        <w:rPr>
          <w:sz w:val="24"/>
          <w:szCs w:val="24"/>
        </w:rPr>
        <w:t>oraz</w:t>
      </w:r>
      <w:r w:rsidRPr="00A42E41">
        <w:rPr>
          <w:sz w:val="24"/>
          <w:szCs w:val="24"/>
        </w:rPr>
        <w:t xml:space="preserve"> innych wyspecjalizowanych organów. W załączniku do Rekomendacji szczegółowa i duża część (część IV) została poświęcona „Dostępowi do </w:t>
      </w:r>
      <w:r>
        <w:rPr>
          <w:sz w:val="24"/>
          <w:szCs w:val="24"/>
        </w:rPr>
        <w:t>środka zaradczego”</w:t>
      </w:r>
      <w:r w:rsidRPr="00A42E41">
        <w:rPr>
          <w:sz w:val="24"/>
          <w:szCs w:val="24"/>
        </w:rPr>
        <w:t xml:space="preserve">, która również odzwierciedla </w:t>
      </w:r>
      <w:r w:rsidRPr="008E76D2">
        <w:rPr>
          <w:sz w:val="24"/>
          <w:szCs w:val="24"/>
          <w:u w:val="single"/>
        </w:rPr>
        <w:t>trzeci filar</w:t>
      </w:r>
      <w:r w:rsidRPr="00A42E41">
        <w:rPr>
          <w:sz w:val="24"/>
          <w:szCs w:val="24"/>
        </w:rPr>
        <w:t xml:space="preserve"> Wytycznych ONZ.</w:t>
      </w:r>
    </w:p>
    <w:p w:rsidR="00591EC1" w:rsidRPr="00A42E41" w:rsidRDefault="00591EC1" w:rsidP="00E7396B">
      <w:pPr>
        <w:pStyle w:val="Akapitzlist"/>
        <w:numPr>
          <w:ilvl w:val="0"/>
          <w:numId w:val="19"/>
        </w:numPr>
        <w:spacing w:before="120" w:after="120" w:line="240" w:lineRule="auto"/>
        <w:ind w:left="567"/>
        <w:contextualSpacing w:val="0"/>
        <w:jc w:val="both"/>
        <w:rPr>
          <w:sz w:val="24"/>
          <w:szCs w:val="24"/>
        </w:rPr>
      </w:pPr>
      <w:r w:rsidRPr="00A42E41">
        <w:rPr>
          <w:sz w:val="24"/>
          <w:szCs w:val="24"/>
        </w:rPr>
        <w:t>Niniejsza Rekomendacja odnosi się</w:t>
      </w:r>
      <w:r>
        <w:rPr>
          <w:sz w:val="24"/>
          <w:szCs w:val="24"/>
        </w:rPr>
        <w:t xml:space="preserve"> </w:t>
      </w:r>
      <w:r w:rsidRPr="00A42E41">
        <w:rPr>
          <w:sz w:val="24"/>
          <w:szCs w:val="24"/>
        </w:rPr>
        <w:t>zatem do wszystkich trz</w:t>
      </w:r>
      <w:r>
        <w:rPr>
          <w:sz w:val="24"/>
          <w:szCs w:val="24"/>
        </w:rPr>
        <w:t>ech</w:t>
      </w:r>
      <w:r w:rsidRPr="00A42E41">
        <w:rPr>
          <w:sz w:val="24"/>
          <w:szCs w:val="24"/>
        </w:rPr>
        <w:t xml:space="preserve"> filarów w sposób zrównoważony, kładąc szczególny nacisk na kwestię dostępu do środka zaradczego. Powodem te</w:t>
      </w:r>
      <w:r>
        <w:rPr>
          <w:sz w:val="24"/>
          <w:szCs w:val="24"/>
        </w:rPr>
        <w:t>go</w:t>
      </w:r>
      <w:r w:rsidRPr="00A42E41">
        <w:rPr>
          <w:sz w:val="24"/>
          <w:szCs w:val="24"/>
        </w:rPr>
        <w:t xml:space="preserve"> jest fakt, że Rada Europy </w:t>
      </w:r>
      <w:r>
        <w:rPr>
          <w:sz w:val="24"/>
          <w:szCs w:val="24"/>
        </w:rPr>
        <w:t>posiada</w:t>
      </w:r>
      <w:r w:rsidRPr="00A42E41">
        <w:rPr>
          <w:sz w:val="24"/>
          <w:szCs w:val="24"/>
        </w:rPr>
        <w:t xml:space="preserve"> szczególne doświadczenie i liczne standardy istniejące już w tym obszarze, z których może czerpać. Komitet Ministrów uznał zatem, że największą wartość dodaną można uzyskać poprzez </w:t>
      </w:r>
      <w:r>
        <w:rPr>
          <w:sz w:val="24"/>
          <w:szCs w:val="24"/>
        </w:rPr>
        <w:t>wystosowanie do</w:t>
      </w:r>
      <w:r w:rsidRPr="00A42E41">
        <w:rPr>
          <w:sz w:val="24"/>
          <w:szCs w:val="24"/>
        </w:rPr>
        <w:t xml:space="preserve"> państw członkowski</w:t>
      </w:r>
      <w:r>
        <w:rPr>
          <w:sz w:val="24"/>
          <w:szCs w:val="24"/>
        </w:rPr>
        <w:t>ch</w:t>
      </w:r>
      <w:r w:rsidRPr="00A42E41">
        <w:rPr>
          <w:sz w:val="24"/>
          <w:szCs w:val="24"/>
        </w:rPr>
        <w:t xml:space="preserve"> zaleceń w sprawie implementacji Wytycznych ONZ w tej dziedzinie, </w:t>
      </w:r>
      <w:r>
        <w:rPr>
          <w:sz w:val="24"/>
          <w:szCs w:val="24"/>
        </w:rPr>
        <w:t>które byłyby</w:t>
      </w:r>
      <w:r w:rsidRPr="00A42E41">
        <w:rPr>
          <w:sz w:val="24"/>
          <w:szCs w:val="24"/>
        </w:rPr>
        <w:t xml:space="preserve"> dostosowane do kontekstu europejskiego. Fakt, że w niniejszej Rekomendacji</w:t>
      </w:r>
      <w:r>
        <w:rPr>
          <w:sz w:val="24"/>
          <w:szCs w:val="24"/>
        </w:rPr>
        <w:t xml:space="preserve"> położono</w:t>
      </w:r>
      <w:r w:rsidRPr="00A42E41" w:rsidDel="002D192C">
        <w:rPr>
          <w:sz w:val="24"/>
          <w:szCs w:val="24"/>
        </w:rPr>
        <w:t xml:space="preserve"> </w:t>
      </w:r>
      <w:r w:rsidRPr="00A42E41">
        <w:rPr>
          <w:sz w:val="24"/>
          <w:szCs w:val="24"/>
        </w:rPr>
        <w:t>taki nacisk nie powinien jednak w żadnym wypadku być rozumiany jako priorytetowe traktowanie jednego z trzech filarów Wytycznych ONZ,</w:t>
      </w:r>
      <w:r>
        <w:rPr>
          <w:sz w:val="24"/>
          <w:szCs w:val="24"/>
        </w:rPr>
        <w:t xml:space="preserve"> z których każdy ma</w:t>
      </w:r>
      <w:r w:rsidRPr="00A42E41">
        <w:rPr>
          <w:sz w:val="24"/>
          <w:szCs w:val="24"/>
        </w:rPr>
        <w:t xml:space="preserve"> taką samą wartość i znaczenie.</w:t>
      </w:r>
    </w:p>
    <w:p w:rsidR="00591EC1" w:rsidRPr="00A42E41" w:rsidRDefault="00591EC1" w:rsidP="00E7396B">
      <w:pPr>
        <w:pStyle w:val="Akapitzlist"/>
        <w:spacing w:before="120" w:after="120" w:line="240" w:lineRule="auto"/>
        <w:ind w:left="1080"/>
        <w:contextualSpacing w:val="0"/>
        <w:jc w:val="both"/>
        <w:rPr>
          <w:b/>
          <w:sz w:val="24"/>
          <w:szCs w:val="24"/>
        </w:rPr>
      </w:pPr>
    </w:p>
    <w:p w:rsidR="00591EC1" w:rsidRDefault="00591EC1" w:rsidP="00E7396B">
      <w:pPr>
        <w:pStyle w:val="Akapitzlist"/>
        <w:numPr>
          <w:ilvl w:val="0"/>
          <w:numId w:val="31"/>
        </w:numPr>
        <w:spacing w:before="120" w:after="120" w:line="240" w:lineRule="auto"/>
        <w:contextualSpacing w:val="0"/>
        <w:jc w:val="both"/>
        <w:rPr>
          <w:b/>
          <w:sz w:val="24"/>
          <w:szCs w:val="24"/>
        </w:rPr>
      </w:pPr>
      <w:r w:rsidRPr="00A42E41">
        <w:rPr>
          <w:b/>
          <w:sz w:val="24"/>
          <w:szCs w:val="24"/>
        </w:rPr>
        <w:t>Implementacja Wytycznych ONZ w zakresie biznesu i praw człowieka</w:t>
      </w:r>
    </w:p>
    <w:p w:rsidR="00277B72" w:rsidRPr="00A42E41" w:rsidRDefault="00277B72" w:rsidP="00277B72">
      <w:pPr>
        <w:pStyle w:val="Akapitzlist"/>
        <w:spacing w:before="120" w:after="120" w:line="240" w:lineRule="auto"/>
        <w:ind w:left="567"/>
        <w:contextualSpacing w:val="0"/>
        <w:jc w:val="both"/>
        <w:rPr>
          <w:b/>
          <w:sz w:val="24"/>
          <w:szCs w:val="24"/>
        </w:rPr>
      </w:pPr>
    </w:p>
    <w:p w:rsidR="00591EC1" w:rsidRPr="00A42E41" w:rsidRDefault="00591EC1" w:rsidP="00E7396B">
      <w:pPr>
        <w:pStyle w:val="Akapitzlist"/>
        <w:numPr>
          <w:ilvl w:val="0"/>
          <w:numId w:val="21"/>
        </w:numPr>
        <w:spacing w:before="120" w:after="120" w:line="240" w:lineRule="auto"/>
        <w:ind w:left="1276" w:hanging="283"/>
        <w:contextualSpacing w:val="0"/>
        <w:jc w:val="both"/>
        <w:rPr>
          <w:b/>
          <w:sz w:val="24"/>
          <w:szCs w:val="24"/>
        </w:rPr>
      </w:pPr>
      <w:r w:rsidRPr="00A42E41">
        <w:rPr>
          <w:b/>
          <w:sz w:val="24"/>
          <w:szCs w:val="24"/>
        </w:rPr>
        <w:t xml:space="preserve">Środki </w:t>
      </w:r>
      <w:r>
        <w:rPr>
          <w:b/>
          <w:sz w:val="24"/>
          <w:szCs w:val="24"/>
        </w:rPr>
        <w:t>o charakterze ogólnym</w:t>
      </w:r>
    </w:p>
    <w:p w:rsidR="00591EC1" w:rsidRPr="00A42E41" w:rsidRDefault="00591EC1" w:rsidP="00E7396B">
      <w:pPr>
        <w:pStyle w:val="Akapitzlist"/>
        <w:spacing w:before="120" w:after="120" w:line="240" w:lineRule="auto"/>
        <w:ind w:left="567"/>
        <w:contextualSpacing w:val="0"/>
        <w:jc w:val="both"/>
        <w:rPr>
          <w:i/>
          <w:sz w:val="24"/>
          <w:szCs w:val="24"/>
        </w:rPr>
      </w:pPr>
      <w:r w:rsidRPr="00A42E41">
        <w:rPr>
          <w:i/>
          <w:sz w:val="24"/>
          <w:szCs w:val="24"/>
        </w:rPr>
        <w:t xml:space="preserve">Niedyskryminacja jako zasada </w:t>
      </w:r>
      <w:r>
        <w:rPr>
          <w:i/>
          <w:sz w:val="24"/>
          <w:szCs w:val="24"/>
        </w:rPr>
        <w:t>ogólna</w:t>
      </w:r>
    </w:p>
    <w:p w:rsidR="00591EC1" w:rsidRPr="00A42E41" w:rsidRDefault="00591EC1" w:rsidP="00E7396B">
      <w:pPr>
        <w:pStyle w:val="Akapitzlist"/>
        <w:numPr>
          <w:ilvl w:val="0"/>
          <w:numId w:val="19"/>
        </w:numPr>
        <w:spacing w:before="120" w:after="120" w:line="240" w:lineRule="auto"/>
        <w:ind w:left="567"/>
        <w:contextualSpacing w:val="0"/>
        <w:jc w:val="both"/>
        <w:rPr>
          <w:sz w:val="24"/>
          <w:szCs w:val="24"/>
        </w:rPr>
      </w:pPr>
      <w:r w:rsidRPr="00A42E41">
        <w:rPr>
          <w:sz w:val="24"/>
          <w:szCs w:val="24"/>
        </w:rPr>
        <w:t xml:space="preserve">Rekomendacja </w:t>
      </w:r>
      <w:r>
        <w:rPr>
          <w:sz w:val="24"/>
          <w:szCs w:val="24"/>
        </w:rPr>
        <w:t>przyjmuje</w:t>
      </w:r>
      <w:r w:rsidRPr="00A42E41">
        <w:rPr>
          <w:sz w:val="24"/>
          <w:szCs w:val="24"/>
        </w:rPr>
        <w:t xml:space="preserve"> za punkt wyjścia </w:t>
      </w:r>
      <w:r>
        <w:rPr>
          <w:sz w:val="24"/>
          <w:szCs w:val="24"/>
        </w:rPr>
        <w:t>sformułowane</w:t>
      </w:r>
      <w:r w:rsidRPr="00A42E41">
        <w:rPr>
          <w:sz w:val="24"/>
          <w:szCs w:val="24"/>
        </w:rPr>
        <w:t xml:space="preserve"> w </w:t>
      </w:r>
      <w:r w:rsidRPr="00A42E41">
        <w:rPr>
          <w:sz w:val="24"/>
          <w:szCs w:val="24"/>
          <w:u w:val="single"/>
        </w:rPr>
        <w:t>paragrafie 1</w:t>
      </w:r>
      <w:r w:rsidRPr="00A42E41">
        <w:rPr>
          <w:rStyle w:val="Odwoanieprzypisukocowego"/>
          <w:sz w:val="24"/>
          <w:szCs w:val="24"/>
        </w:rPr>
        <w:endnoteReference w:id="2"/>
      </w:r>
      <w:r>
        <w:rPr>
          <w:sz w:val="24"/>
          <w:szCs w:val="24"/>
          <w:u w:val="single"/>
        </w:rPr>
        <w:t xml:space="preserve"> wezwanie</w:t>
      </w:r>
      <w:r w:rsidRPr="00A42E41">
        <w:rPr>
          <w:sz w:val="24"/>
          <w:szCs w:val="24"/>
        </w:rPr>
        <w:t xml:space="preserve"> państw członkowskich do skutecznego wdrażania Wytycznych ONZ dotyczących biznesu i praw człowieka. </w:t>
      </w:r>
      <w:r>
        <w:rPr>
          <w:sz w:val="24"/>
          <w:szCs w:val="24"/>
        </w:rPr>
        <w:t>Podobnie</w:t>
      </w:r>
      <w:r w:rsidRPr="00A42E41">
        <w:rPr>
          <w:sz w:val="24"/>
          <w:szCs w:val="24"/>
        </w:rPr>
        <w:t xml:space="preserve"> jak Wytyczne ONZ niniejsza Rekomendacja powinna być realizowana w sposób niedyskrymin</w:t>
      </w:r>
      <w:r>
        <w:rPr>
          <w:sz w:val="24"/>
          <w:szCs w:val="24"/>
        </w:rPr>
        <w:t>ujący</w:t>
      </w:r>
      <w:r w:rsidRPr="00A42E41">
        <w:rPr>
          <w:sz w:val="24"/>
          <w:szCs w:val="24"/>
        </w:rPr>
        <w:t xml:space="preserve"> (</w:t>
      </w:r>
      <w:r w:rsidRPr="00A42E41">
        <w:rPr>
          <w:sz w:val="24"/>
          <w:szCs w:val="24"/>
          <w:u w:val="single"/>
        </w:rPr>
        <w:t>paragraf 2 Rekomendacji</w:t>
      </w:r>
      <w:r w:rsidRPr="00A42E41">
        <w:rPr>
          <w:sz w:val="24"/>
          <w:szCs w:val="24"/>
        </w:rPr>
        <w:t>), ze szczególnym uwzględnieniem praw</w:t>
      </w:r>
      <w:r>
        <w:rPr>
          <w:sz w:val="24"/>
          <w:szCs w:val="24"/>
        </w:rPr>
        <w:t>,</w:t>
      </w:r>
      <w:r w:rsidRPr="00A42E41">
        <w:rPr>
          <w:sz w:val="24"/>
          <w:szCs w:val="24"/>
        </w:rPr>
        <w:t xml:space="preserve"> potrzeb</w:t>
      </w:r>
      <w:r>
        <w:rPr>
          <w:sz w:val="24"/>
          <w:szCs w:val="24"/>
        </w:rPr>
        <w:t xml:space="preserve"> i</w:t>
      </w:r>
      <w:r w:rsidRPr="00A42E41">
        <w:rPr>
          <w:sz w:val="24"/>
          <w:szCs w:val="24"/>
        </w:rPr>
        <w:t xml:space="preserve"> wyzwań, z którymi muszą się zmierzyć</w:t>
      </w:r>
      <w:r>
        <w:rPr>
          <w:sz w:val="24"/>
          <w:szCs w:val="24"/>
        </w:rPr>
        <w:t xml:space="preserve"> </w:t>
      </w:r>
      <w:r w:rsidRPr="00A42E41">
        <w:rPr>
          <w:sz w:val="24"/>
          <w:szCs w:val="24"/>
        </w:rPr>
        <w:t xml:space="preserve">osoby z grup lub populacji, które mogą być szczególnie </w:t>
      </w:r>
      <w:r>
        <w:rPr>
          <w:sz w:val="24"/>
          <w:szCs w:val="24"/>
        </w:rPr>
        <w:t xml:space="preserve">podatne </w:t>
      </w:r>
      <w:r w:rsidRPr="00A42E41">
        <w:rPr>
          <w:sz w:val="24"/>
          <w:szCs w:val="24"/>
        </w:rPr>
        <w:t>lub narażone na ryzyko marginalizacji. Niniejsza Rekomendacja kładzie tym samym szczególny nacisk na należyte uwzględnienie ryzyka dotyczącego problematyki płci. W odniesieniu do standardów Rady Europy</w:t>
      </w:r>
      <w:r>
        <w:rPr>
          <w:sz w:val="24"/>
          <w:szCs w:val="24"/>
        </w:rPr>
        <w:t xml:space="preserve"> </w:t>
      </w:r>
      <w:r w:rsidRPr="00A42E41">
        <w:rPr>
          <w:sz w:val="24"/>
          <w:szCs w:val="24"/>
        </w:rPr>
        <w:t>zasada zakazu dyskryminacji wynika z art. 14 Konwencji o ochronie praw człowieka i podstawowych wolności (zakaz dyskryminacji w korzystaniu z praw zawartych w Konwencji) oraz art.</w:t>
      </w:r>
      <w:r>
        <w:rPr>
          <w:sz w:val="24"/>
          <w:szCs w:val="24"/>
        </w:rPr>
        <w:t xml:space="preserve"> </w:t>
      </w:r>
      <w:r w:rsidRPr="00A42E41">
        <w:rPr>
          <w:sz w:val="24"/>
          <w:szCs w:val="24"/>
        </w:rPr>
        <w:t>1 Protokołu nr 12 do Konwencji (ustanawiającej ogólny zakaz dyskryminacji). Przepisy te zakazują dyskryminacji</w:t>
      </w:r>
      <w:r>
        <w:rPr>
          <w:sz w:val="24"/>
          <w:szCs w:val="24"/>
        </w:rPr>
        <w:t xml:space="preserve"> ze względu na</w:t>
      </w:r>
      <w:r w:rsidRPr="00A42E41">
        <w:rPr>
          <w:sz w:val="24"/>
          <w:szCs w:val="24"/>
        </w:rPr>
        <w:t xml:space="preserve"> płeć, ras</w:t>
      </w:r>
      <w:r>
        <w:rPr>
          <w:sz w:val="24"/>
          <w:szCs w:val="24"/>
        </w:rPr>
        <w:t>ę</w:t>
      </w:r>
      <w:r w:rsidRPr="00A42E41">
        <w:rPr>
          <w:sz w:val="24"/>
          <w:szCs w:val="24"/>
        </w:rPr>
        <w:t>, kolor skóry, język, religi</w:t>
      </w:r>
      <w:r>
        <w:rPr>
          <w:sz w:val="24"/>
          <w:szCs w:val="24"/>
        </w:rPr>
        <w:t>ę</w:t>
      </w:r>
      <w:r w:rsidRPr="00A42E41">
        <w:rPr>
          <w:sz w:val="24"/>
          <w:szCs w:val="24"/>
        </w:rPr>
        <w:t xml:space="preserve">, przekonania polityczne i inne, pochodzenie narodowe lub społeczne, przynależność do mniejszości narodowej, majątek, urodzenie bądź z jakichkolwiek innych przyczyn. </w:t>
      </w:r>
      <w:r>
        <w:rPr>
          <w:sz w:val="24"/>
          <w:szCs w:val="24"/>
        </w:rPr>
        <w:t>Ich l</w:t>
      </w:r>
      <w:r w:rsidRPr="00A42E41">
        <w:rPr>
          <w:sz w:val="24"/>
          <w:szCs w:val="24"/>
        </w:rPr>
        <w:t xml:space="preserve">ista nie jest wyczerpująca, ma raczej charakter przykładowy. Pojęcie dyskryminacji zostało w spójny sposób zinterpretowane przez Europejski Trybunał Praw Człowieka w orzecznictwie dotyczącym art. 14 Konwencji. W szczególności, na podstawie orzecznictwa Trybunału w tym zakresie można stwierdzić, że nie każde </w:t>
      </w:r>
      <w:r w:rsidRPr="003D1A53">
        <w:rPr>
          <w:sz w:val="24"/>
          <w:szCs w:val="24"/>
        </w:rPr>
        <w:t>preferencyjne lub odmienne traktowanie</w:t>
      </w:r>
      <w:r w:rsidRPr="003D1A53" w:rsidDel="003D1A53">
        <w:rPr>
          <w:sz w:val="24"/>
          <w:szCs w:val="24"/>
        </w:rPr>
        <w:t xml:space="preserve"> </w:t>
      </w:r>
      <w:r w:rsidRPr="00A42E41">
        <w:rPr>
          <w:sz w:val="24"/>
          <w:szCs w:val="24"/>
        </w:rPr>
        <w:t xml:space="preserve">stanowi dyskryminację. </w:t>
      </w:r>
      <w:r>
        <w:rPr>
          <w:sz w:val="24"/>
          <w:szCs w:val="24"/>
        </w:rPr>
        <w:t xml:space="preserve">Np. </w:t>
      </w:r>
      <w:r w:rsidRPr="00A42E41">
        <w:rPr>
          <w:sz w:val="24"/>
          <w:szCs w:val="24"/>
        </w:rPr>
        <w:t xml:space="preserve">w wyroku </w:t>
      </w:r>
      <w:proofErr w:type="spellStart"/>
      <w:r w:rsidRPr="00A42E41">
        <w:rPr>
          <w:i/>
          <w:sz w:val="24"/>
          <w:szCs w:val="24"/>
        </w:rPr>
        <w:t>Abdulaziz</w:t>
      </w:r>
      <w:proofErr w:type="spellEnd"/>
      <w:r w:rsidRPr="00A42E41">
        <w:rPr>
          <w:i/>
          <w:sz w:val="24"/>
          <w:szCs w:val="24"/>
        </w:rPr>
        <w:t xml:space="preserve">, </w:t>
      </w:r>
      <w:proofErr w:type="spellStart"/>
      <w:r w:rsidRPr="00A42E41">
        <w:rPr>
          <w:i/>
          <w:sz w:val="24"/>
          <w:szCs w:val="24"/>
        </w:rPr>
        <w:t>Cabales</w:t>
      </w:r>
      <w:proofErr w:type="spellEnd"/>
      <w:r w:rsidRPr="00A42E41">
        <w:rPr>
          <w:i/>
          <w:sz w:val="24"/>
          <w:szCs w:val="24"/>
        </w:rPr>
        <w:t xml:space="preserve"> i </w:t>
      </w:r>
      <w:proofErr w:type="spellStart"/>
      <w:r w:rsidRPr="00A42E41">
        <w:rPr>
          <w:i/>
          <w:sz w:val="24"/>
          <w:szCs w:val="24"/>
        </w:rPr>
        <w:t>Balkandali</w:t>
      </w:r>
      <w:proofErr w:type="spellEnd"/>
      <w:r w:rsidRPr="00A42E41">
        <w:rPr>
          <w:sz w:val="24"/>
          <w:szCs w:val="24"/>
        </w:rPr>
        <w:t xml:space="preserve"> </w:t>
      </w:r>
      <w:r w:rsidRPr="00944581">
        <w:rPr>
          <w:i/>
          <w:sz w:val="24"/>
          <w:szCs w:val="24"/>
        </w:rPr>
        <w:t>przeciwko Wielkiej Brytanii</w:t>
      </w:r>
      <w:r>
        <w:rPr>
          <w:i/>
          <w:sz w:val="24"/>
          <w:szCs w:val="24"/>
        </w:rPr>
        <w:t xml:space="preserve"> </w:t>
      </w:r>
      <w:r>
        <w:rPr>
          <w:sz w:val="24"/>
          <w:szCs w:val="24"/>
        </w:rPr>
        <w:t>Trybunał stwierdził:</w:t>
      </w:r>
      <w:r w:rsidRPr="00A42E41">
        <w:rPr>
          <w:sz w:val="24"/>
          <w:szCs w:val="24"/>
        </w:rPr>
        <w:t xml:space="preserve"> „odmienne traktowanie jest dyskryminujące, jeśli ‘nie ma obiektywnego i racjonalnego uzasadnienia’, to znaczy jeśli jego ‘cel nie jest zgodny z prawem’ lub jeśli nie zachowuje ‘rozsądnego stosunku proporcjonalności pomiędzy zastosowanymi środkami a </w:t>
      </w:r>
      <w:r>
        <w:rPr>
          <w:sz w:val="24"/>
          <w:szCs w:val="24"/>
        </w:rPr>
        <w:t>celem, który ma być realizowany”</w:t>
      </w:r>
      <w:r w:rsidRPr="00A42E41">
        <w:rPr>
          <w:sz w:val="24"/>
          <w:szCs w:val="24"/>
        </w:rPr>
        <w:t>.</w:t>
      </w:r>
      <w:r w:rsidRPr="00A42E41">
        <w:rPr>
          <w:rStyle w:val="Odwoanieprzypisukocowego"/>
          <w:sz w:val="24"/>
          <w:szCs w:val="24"/>
        </w:rPr>
        <w:endnoteReference w:id="3"/>
      </w:r>
      <w:r w:rsidRPr="00A42E41">
        <w:rPr>
          <w:sz w:val="24"/>
          <w:szCs w:val="24"/>
        </w:rPr>
        <w:t xml:space="preserve"> W dziedzinie praw społecznych i </w:t>
      </w:r>
      <w:r>
        <w:rPr>
          <w:sz w:val="24"/>
          <w:szCs w:val="24"/>
        </w:rPr>
        <w:t>gospodarczych</w:t>
      </w:r>
      <w:r w:rsidRPr="00A42E41">
        <w:rPr>
          <w:sz w:val="24"/>
          <w:szCs w:val="24"/>
        </w:rPr>
        <w:t xml:space="preserve"> art. E Europejskiej Karty Społecznej (zrewidowanej) wymaga, aby prawa zawarte w Karcie </w:t>
      </w:r>
      <w:r>
        <w:rPr>
          <w:sz w:val="24"/>
          <w:szCs w:val="24"/>
        </w:rPr>
        <w:t>były</w:t>
      </w:r>
      <w:r w:rsidRPr="00A42E41">
        <w:rPr>
          <w:sz w:val="24"/>
          <w:szCs w:val="24"/>
        </w:rPr>
        <w:t xml:space="preserve"> </w:t>
      </w:r>
      <w:r w:rsidRPr="00A42E41">
        <w:rPr>
          <w:sz w:val="24"/>
          <w:szCs w:val="24"/>
        </w:rPr>
        <w:lastRenderedPageBreak/>
        <w:t xml:space="preserve">zapewnione bez dyskryminacji ze względu na przesłanki zawarte w tym przepisie, które odzwierciedlają </w:t>
      </w:r>
      <w:r>
        <w:rPr>
          <w:sz w:val="24"/>
          <w:szCs w:val="24"/>
        </w:rPr>
        <w:t xml:space="preserve">podstawy </w:t>
      </w:r>
      <w:r w:rsidRPr="00A42E41">
        <w:rPr>
          <w:sz w:val="24"/>
          <w:szCs w:val="24"/>
        </w:rPr>
        <w:t>zawarte w art. 14 Konwencji (</w:t>
      </w:r>
      <w:r>
        <w:rPr>
          <w:sz w:val="24"/>
          <w:szCs w:val="24"/>
        </w:rPr>
        <w:t>po dodaniu do listy przesłanki „zdrowie”</w:t>
      </w:r>
      <w:r w:rsidRPr="00A42E41">
        <w:rPr>
          <w:sz w:val="24"/>
          <w:szCs w:val="24"/>
        </w:rPr>
        <w:t xml:space="preserve">). Dla państw członkowskich Rady Europy, które są jednocześnie członkami Unii Europejskiej, art. 21 Karty Praw Podstawowych zawiera klauzulę o niedyskryminacji. Niniejsza Rekomendacja określa </w:t>
      </w:r>
      <w:r w:rsidRPr="00A42E41">
        <w:rPr>
          <w:sz w:val="24"/>
          <w:szCs w:val="24"/>
          <w:u w:val="single"/>
        </w:rPr>
        <w:t>w paragrafie 17</w:t>
      </w:r>
      <w:r w:rsidRPr="00A42E41">
        <w:rPr>
          <w:sz w:val="24"/>
          <w:szCs w:val="24"/>
        </w:rPr>
        <w:t>, że państwa członkowskie powinny, zgodnie z</w:t>
      </w:r>
      <w:r>
        <w:rPr>
          <w:sz w:val="24"/>
          <w:szCs w:val="24"/>
        </w:rPr>
        <w:t>e</w:t>
      </w:r>
      <w:r w:rsidRPr="00A42E41">
        <w:rPr>
          <w:sz w:val="24"/>
          <w:szCs w:val="24"/>
        </w:rPr>
        <w:t xml:space="preserve"> </w:t>
      </w:r>
      <w:r>
        <w:rPr>
          <w:sz w:val="24"/>
          <w:szCs w:val="24"/>
        </w:rPr>
        <w:t>swymi</w:t>
      </w:r>
      <w:r w:rsidRPr="00A42E41">
        <w:rPr>
          <w:sz w:val="24"/>
          <w:szCs w:val="24"/>
        </w:rPr>
        <w:t xml:space="preserve"> zobowiązaniami międzynarodowymi, zagwarantować</w:t>
      </w:r>
      <w:r>
        <w:rPr>
          <w:sz w:val="24"/>
          <w:szCs w:val="24"/>
        </w:rPr>
        <w:t xml:space="preserve"> skuteczną realizację</w:t>
      </w:r>
      <w:r w:rsidRPr="00A42E41">
        <w:rPr>
          <w:sz w:val="24"/>
          <w:szCs w:val="24"/>
        </w:rPr>
        <w:t xml:space="preserve"> </w:t>
      </w:r>
      <w:r w:rsidRPr="001B7BBF">
        <w:rPr>
          <w:sz w:val="24"/>
          <w:szCs w:val="24"/>
        </w:rPr>
        <w:t>swoich</w:t>
      </w:r>
      <w:r w:rsidRPr="00A42E41">
        <w:rPr>
          <w:sz w:val="24"/>
          <w:szCs w:val="24"/>
        </w:rPr>
        <w:t xml:space="preserve"> przepis</w:t>
      </w:r>
      <w:r>
        <w:rPr>
          <w:sz w:val="24"/>
          <w:szCs w:val="24"/>
        </w:rPr>
        <w:t>ów</w:t>
      </w:r>
      <w:r w:rsidRPr="00A42E41">
        <w:rPr>
          <w:sz w:val="24"/>
          <w:szCs w:val="24"/>
        </w:rPr>
        <w:t xml:space="preserve"> dotycząc</w:t>
      </w:r>
      <w:r>
        <w:rPr>
          <w:sz w:val="24"/>
          <w:szCs w:val="24"/>
        </w:rPr>
        <w:t>ych</w:t>
      </w:r>
      <w:r w:rsidRPr="00A42E41">
        <w:rPr>
          <w:sz w:val="24"/>
          <w:szCs w:val="24"/>
        </w:rPr>
        <w:t xml:space="preserve"> zatrudnienia. W tym kontekście </w:t>
      </w:r>
      <w:r>
        <w:rPr>
          <w:sz w:val="24"/>
          <w:szCs w:val="24"/>
        </w:rPr>
        <w:t>należy</w:t>
      </w:r>
      <w:r w:rsidRPr="00A42E41">
        <w:rPr>
          <w:sz w:val="24"/>
          <w:szCs w:val="24"/>
        </w:rPr>
        <w:t xml:space="preserve"> podkreśl</w:t>
      </w:r>
      <w:r>
        <w:rPr>
          <w:sz w:val="24"/>
          <w:szCs w:val="24"/>
        </w:rPr>
        <w:t>ić</w:t>
      </w:r>
      <w:r w:rsidRPr="00A42E41">
        <w:rPr>
          <w:sz w:val="24"/>
          <w:szCs w:val="24"/>
        </w:rPr>
        <w:t xml:space="preserve"> szczególn</w:t>
      </w:r>
      <w:r>
        <w:rPr>
          <w:sz w:val="24"/>
          <w:szCs w:val="24"/>
        </w:rPr>
        <w:t>ą</w:t>
      </w:r>
      <w:r w:rsidRPr="00A42E41">
        <w:rPr>
          <w:sz w:val="24"/>
          <w:szCs w:val="24"/>
        </w:rPr>
        <w:t xml:space="preserve"> rol</w:t>
      </w:r>
      <w:r>
        <w:rPr>
          <w:sz w:val="24"/>
          <w:szCs w:val="24"/>
        </w:rPr>
        <w:t>ę</w:t>
      </w:r>
      <w:r w:rsidRPr="00A42E41">
        <w:rPr>
          <w:sz w:val="24"/>
          <w:szCs w:val="24"/>
        </w:rPr>
        <w:t xml:space="preserve"> dobrze funkcjonującego systemu inspekcji pracy. Ponadto od przedsiębiorstw</w:t>
      </w:r>
      <w:r>
        <w:rPr>
          <w:sz w:val="24"/>
          <w:szCs w:val="24"/>
        </w:rPr>
        <w:t xml:space="preserve"> wymaga się,</w:t>
      </w:r>
      <w:r w:rsidRPr="00A42E41">
        <w:rPr>
          <w:sz w:val="24"/>
          <w:szCs w:val="24"/>
        </w:rPr>
        <w:t xml:space="preserve"> aby nie dyskryminowały pracowników.</w:t>
      </w:r>
    </w:p>
    <w:p w:rsidR="00591EC1" w:rsidRPr="00A42E41" w:rsidRDefault="00591EC1" w:rsidP="00E7396B">
      <w:pPr>
        <w:pStyle w:val="Akapitzlist"/>
        <w:spacing w:before="120" w:after="120" w:line="240" w:lineRule="auto"/>
        <w:ind w:left="1080"/>
        <w:contextualSpacing w:val="0"/>
        <w:jc w:val="both"/>
        <w:rPr>
          <w:sz w:val="24"/>
          <w:szCs w:val="24"/>
        </w:rPr>
      </w:pPr>
    </w:p>
    <w:p w:rsidR="00591EC1" w:rsidRPr="00FE4290" w:rsidRDefault="00591EC1" w:rsidP="00E7396B">
      <w:pPr>
        <w:pStyle w:val="Akapitzlist"/>
        <w:spacing w:before="120" w:after="120" w:line="240" w:lineRule="auto"/>
        <w:ind w:left="567"/>
        <w:contextualSpacing w:val="0"/>
        <w:jc w:val="both"/>
        <w:rPr>
          <w:i/>
          <w:sz w:val="24"/>
          <w:szCs w:val="24"/>
        </w:rPr>
      </w:pPr>
      <w:r w:rsidRPr="00FE4290">
        <w:rPr>
          <w:i/>
          <w:sz w:val="24"/>
          <w:szCs w:val="24"/>
        </w:rPr>
        <w:t xml:space="preserve">Istotne międzynarodowe i europejskie standardy praw człowieka </w:t>
      </w:r>
    </w:p>
    <w:p w:rsidR="00591EC1" w:rsidRPr="00A42E41" w:rsidRDefault="00591EC1" w:rsidP="00E7396B">
      <w:pPr>
        <w:pStyle w:val="Akapitzlist"/>
        <w:numPr>
          <w:ilvl w:val="0"/>
          <w:numId w:val="19"/>
        </w:numPr>
        <w:spacing w:before="120" w:after="120" w:line="240" w:lineRule="auto"/>
        <w:ind w:left="567"/>
        <w:contextualSpacing w:val="0"/>
        <w:jc w:val="both"/>
        <w:rPr>
          <w:sz w:val="24"/>
          <w:szCs w:val="24"/>
        </w:rPr>
      </w:pPr>
      <w:r w:rsidRPr="009A6D13">
        <w:rPr>
          <w:sz w:val="24"/>
          <w:szCs w:val="24"/>
          <w:u w:val="single"/>
        </w:rPr>
        <w:t>Paragraf 3 niniejszej Rekomendacji</w:t>
      </w:r>
      <w:r w:rsidRPr="00A42E41">
        <w:rPr>
          <w:sz w:val="24"/>
          <w:szCs w:val="24"/>
        </w:rPr>
        <w:t xml:space="preserve"> zachęca państwa członkowskie do uwzględnienia pełnego spektrum międzynarodowych standardów praw człowieka w procesie wdrażania oraz do </w:t>
      </w:r>
      <w:r>
        <w:rPr>
          <w:sz w:val="24"/>
          <w:szCs w:val="24"/>
        </w:rPr>
        <w:t xml:space="preserve">zwrócenia </w:t>
      </w:r>
      <w:r w:rsidRPr="00A42E41">
        <w:rPr>
          <w:sz w:val="24"/>
          <w:szCs w:val="24"/>
        </w:rPr>
        <w:t>należyte</w:t>
      </w:r>
      <w:r>
        <w:rPr>
          <w:sz w:val="24"/>
          <w:szCs w:val="24"/>
        </w:rPr>
        <w:t>j</w:t>
      </w:r>
      <w:r w:rsidRPr="00A42E41">
        <w:rPr>
          <w:sz w:val="24"/>
          <w:szCs w:val="24"/>
        </w:rPr>
        <w:t xml:space="preserve"> </w:t>
      </w:r>
      <w:r>
        <w:rPr>
          <w:sz w:val="24"/>
          <w:szCs w:val="24"/>
        </w:rPr>
        <w:t>uwagi na</w:t>
      </w:r>
      <w:r w:rsidRPr="00A42E41">
        <w:rPr>
          <w:sz w:val="24"/>
          <w:szCs w:val="24"/>
        </w:rPr>
        <w:t xml:space="preserve"> prac</w:t>
      </w:r>
      <w:r>
        <w:rPr>
          <w:sz w:val="24"/>
          <w:szCs w:val="24"/>
        </w:rPr>
        <w:t>ę</w:t>
      </w:r>
      <w:r w:rsidRPr="00A42E41">
        <w:rPr>
          <w:sz w:val="24"/>
          <w:szCs w:val="24"/>
        </w:rPr>
        <w:t xml:space="preserve"> ich odpowiednich organów monitorujących. Oznacza to w szczególności prawa cywilne i polityczne (na </w:t>
      </w:r>
      <w:r>
        <w:rPr>
          <w:sz w:val="24"/>
          <w:szCs w:val="24"/>
        </w:rPr>
        <w:t>szczeblu</w:t>
      </w:r>
      <w:r w:rsidRPr="00A42E41">
        <w:rPr>
          <w:sz w:val="24"/>
          <w:szCs w:val="24"/>
        </w:rPr>
        <w:t xml:space="preserve"> Rady Europy</w:t>
      </w:r>
      <w:r>
        <w:rPr>
          <w:sz w:val="24"/>
          <w:szCs w:val="24"/>
        </w:rPr>
        <w:t xml:space="preserve"> – zgodnie z</w:t>
      </w:r>
      <w:r w:rsidRPr="00A42E41">
        <w:rPr>
          <w:sz w:val="24"/>
          <w:szCs w:val="24"/>
        </w:rPr>
        <w:t xml:space="preserve"> Konwencj</w:t>
      </w:r>
      <w:r>
        <w:rPr>
          <w:sz w:val="24"/>
          <w:szCs w:val="24"/>
        </w:rPr>
        <w:t>ą</w:t>
      </w:r>
      <w:r w:rsidRPr="00A42E41">
        <w:rPr>
          <w:sz w:val="24"/>
          <w:szCs w:val="24"/>
        </w:rPr>
        <w:t xml:space="preserve"> o ochronie praw człowieka i podstawowych wolności, na poziomie globalnym</w:t>
      </w:r>
      <w:r>
        <w:rPr>
          <w:sz w:val="24"/>
          <w:szCs w:val="24"/>
        </w:rPr>
        <w:t xml:space="preserve"> – zgodnie z</w:t>
      </w:r>
      <w:r w:rsidRPr="00A42E41">
        <w:rPr>
          <w:sz w:val="24"/>
          <w:szCs w:val="24"/>
        </w:rPr>
        <w:t xml:space="preserve"> Międzynarodowym Pak</w:t>
      </w:r>
      <w:r>
        <w:rPr>
          <w:sz w:val="24"/>
          <w:szCs w:val="24"/>
        </w:rPr>
        <w:t>tem</w:t>
      </w:r>
      <w:r w:rsidRPr="00A42E41">
        <w:rPr>
          <w:sz w:val="24"/>
          <w:szCs w:val="24"/>
        </w:rPr>
        <w:t xml:space="preserve"> Praw Obywatelskich i Politycznych) oraz praw</w:t>
      </w:r>
      <w:r>
        <w:rPr>
          <w:sz w:val="24"/>
          <w:szCs w:val="24"/>
        </w:rPr>
        <w:t>a</w:t>
      </w:r>
      <w:r w:rsidRPr="00A42E41">
        <w:rPr>
          <w:sz w:val="24"/>
          <w:szCs w:val="24"/>
        </w:rPr>
        <w:t xml:space="preserve"> socjaln</w:t>
      </w:r>
      <w:r>
        <w:rPr>
          <w:sz w:val="24"/>
          <w:szCs w:val="24"/>
        </w:rPr>
        <w:t>e</w:t>
      </w:r>
      <w:r w:rsidRPr="00A42E41">
        <w:rPr>
          <w:sz w:val="24"/>
          <w:szCs w:val="24"/>
        </w:rPr>
        <w:t xml:space="preserve"> i </w:t>
      </w:r>
      <w:r>
        <w:rPr>
          <w:sz w:val="24"/>
          <w:szCs w:val="24"/>
        </w:rPr>
        <w:t>gospodarcze</w:t>
      </w:r>
      <w:r w:rsidRPr="00A42E41">
        <w:rPr>
          <w:sz w:val="24"/>
          <w:szCs w:val="24"/>
        </w:rPr>
        <w:t xml:space="preserve"> </w:t>
      </w:r>
      <w:r>
        <w:rPr>
          <w:sz w:val="24"/>
          <w:szCs w:val="24"/>
        </w:rPr>
        <w:t>(</w:t>
      </w:r>
      <w:r w:rsidRPr="00A42E41">
        <w:rPr>
          <w:sz w:val="24"/>
          <w:szCs w:val="24"/>
        </w:rPr>
        <w:t>na poziomie Rady Europy</w:t>
      </w:r>
      <w:r>
        <w:rPr>
          <w:sz w:val="24"/>
          <w:szCs w:val="24"/>
        </w:rPr>
        <w:t xml:space="preserve"> – zgodnie z</w:t>
      </w:r>
      <w:r w:rsidRPr="00A42E41">
        <w:rPr>
          <w:sz w:val="24"/>
          <w:szCs w:val="24"/>
        </w:rPr>
        <w:t xml:space="preserve"> Europejsk</w:t>
      </w:r>
      <w:r>
        <w:rPr>
          <w:sz w:val="24"/>
          <w:szCs w:val="24"/>
        </w:rPr>
        <w:t>ą</w:t>
      </w:r>
      <w:r w:rsidRPr="00A42E41">
        <w:rPr>
          <w:sz w:val="24"/>
          <w:szCs w:val="24"/>
        </w:rPr>
        <w:t xml:space="preserve"> Kar</w:t>
      </w:r>
      <w:r>
        <w:rPr>
          <w:sz w:val="24"/>
          <w:szCs w:val="24"/>
        </w:rPr>
        <w:t>tą</w:t>
      </w:r>
      <w:r w:rsidRPr="00A42E41">
        <w:rPr>
          <w:sz w:val="24"/>
          <w:szCs w:val="24"/>
        </w:rPr>
        <w:t xml:space="preserve"> Społeczn</w:t>
      </w:r>
      <w:r>
        <w:rPr>
          <w:sz w:val="24"/>
          <w:szCs w:val="24"/>
        </w:rPr>
        <w:t>ą</w:t>
      </w:r>
      <w:r w:rsidRPr="00A42E41">
        <w:rPr>
          <w:sz w:val="24"/>
          <w:szCs w:val="24"/>
        </w:rPr>
        <w:t xml:space="preserve"> </w:t>
      </w:r>
      <w:r>
        <w:rPr>
          <w:sz w:val="24"/>
          <w:szCs w:val="24"/>
        </w:rPr>
        <w:t>[</w:t>
      </w:r>
      <w:r w:rsidRPr="00A42E41">
        <w:rPr>
          <w:sz w:val="24"/>
          <w:szCs w:val="24"/>
        </w:rPr>
        <w:t>zrewidowan</w:t>
      </w:r>
      <w:r>
        <w:rPr>
          <w:sz w:val="24"/>
          <w:szCs w:val="24"/>
        </w:rPr>
        <w:t>ą],</w:t>
      </w:r>
      <w:r w:rsidRPr="00A42E41">
        <w:rPr>
          <w:sz w:val="24"/>
          <w:szCs w:val="24"/>
        </w:rPr>
        <w:t xml:space="preserve"> na poziomie globalnym</w:t>
      </w:r>
      <w:r>
        <w:rPr>
          <w:sz w:val="24"/>
          <w:szCs w:val="24"/>
        </w:rPr>
        <w:t xml:space="preserve"> – zgodnie z</w:t>
      </w:r>
      <w:r w:rsidRPr="00A42E41">
        <w:rPr>
          <w:sz w:val="24"/>
          <w:szCs w:val="24"/>
        </w:rPr>
        <w:t xml:space="preserve"> Międzynarodowym Pak</w:t>
      </w:r>
      <w:r>
        <w:rPr>
          <w:sz w:val="24"/>
          <w:szCs w:val="24"/>
        </w:rPr>
        <w:t>tem</w:t>
      </w:r>
      <w:r w:rsidRPr="00A42E41">
        <w:rPr>
          <w:sz w:val="24"/>
          <w:szCs w:val="24"/>
        </w:rPr>
        <w:t xml:space="preserve"> Praw Gospodarczych, Społecznych i Kulturalnych</w:t>
      </w:r>
      <w:r>
        <w:rPr>
          <w:sz w:val="24"/>
          <w:szCs w:val="24"/>
        </w:rPr>
        <w:t>)</w:t>
      </w:r>
      <w:r w:rsidRPr="00A42E41">
        <w:rPr>
          <w:sz w:val="24"/>
          <w:szCs w:val="24"/>
        </w:rPr>
        <w:t>. Ponadto poszczególne traktaty dotyczące praw człowieka mogą przewidywać zobowiązania</w:t>
      </w:r>
      <w:r>
        <w:rPr>
          <w:sz w:val="24"/>
          <w:szCs w:val="24"/>
        </w:rPr>
        <w:t xml:space="preserve"> dla</w:t>
      </w:r>
      <w:r w:rsidRPr="00A42E41">
        <w:rPr>
          <w:sz w:val="24"/>
          <w:szCs w:val="24"/>
        </w:rPr>
        <w:t xml:space="preserve"> państw członkowskich dotyczące praw człowieka w odniesieniu do przedsiębiorstw, o ile państwa ratyfikowały te traktaty. Wśród standardów Rady Europy przepisy takie mogą być zawarte w Konwencji Rady Europy o ochronie osób w związku z automatycznym przetwarzaniem danych osobowych (ETS nr 108), Konwencji o prawach człowieka i biomedycynie (ETS nr 164), Konwencji o cyberprzestępczości (ETS nr 185), Konwencji przeciwko handlowi ludźmi (CETS nr 197), Konwencji o ochronie dzieci przed seksualnym wykorzystywaniem i niegodziwym traktowaniem w celach seksualnych (CETS nr 201) oraz Konwencji w sprawie zapobiegania i zwalczania przemocy wobec kobiet i przemocy domowej (CETS nr 210).</w:t>
      </w:r>
    </w:p>
    <w:p w:rsidR="00591EC1" w:rsidRPr="00A42E41" w:rsidRDefault="00591EC1" w:rsidP="00E7396B">
      <w:pPr>
        <w:pStyle w:val="Akapitzlist"/>
        <w:numPr>
          <w:ilvl w:val="0"/>
          <w:numId w:val="19"/>
        </w:numPr>
        <w:spacing w:before="120" w:after="120" w:line="240" w:lineRule="auto"/>
        <w:ind w:left="567"/>
        <w:contextualSpacing w:val="0"/>
        <w:jc w:val="both"/>
        <w:rPr>
          <w:sz w:val="24"/>
          <w:szCs w:val="24"/>
        </w:rPr>
      </w:pPr>
      <w:r w:rsidRPr="00A42E41">
        <w:rPr>
          <w:sz w:val="24"/>
          <w:szCs w:val="24"/>
        </w:rPr>
        <w:t>Szczególne znaczenie mają ponadto Międzynarodowa konwencja w sprawie likwidacji wszelkich form dyskryminacji rasowej (1963), Konwencja w sprawie likwidacji wszelkich form dyskryminacji kobiet (1979), Międzynarodowa konwencja o ochronie praw wszystkich pracowników migrujących i członków ich rodzin (1990), Protokół o zapobieganiu, zwalczaniu oraz karaniu za handel ludźmi, w szczególności kobietami i dziećmi (</w:t>
      </w:r>
      <w:r>
        <w:rPr>
          <w:sz w:val="24"/>
          <w:szCs w:val="24"/>
        </w:rPr>
        <w:t>„Protokół z Palermo”</w:t>
      </w:r>
      <w:r w:rsidRPr="00A42E41">
        <w:rPr>
          <w:sz w:val="24"/>
          <w:szCs w:val="24"/>
        </w:rPr>
        <w:t>), uzupełniający Konwencję ONZ przeciwko międzynarodowej przestępczości zorganizowanej (2000), a także Konwencja ONZ o prawach osób niepełnosprawnych (2006).</w:t>
      </w:r>
    </w:p>
    <w:p w:rsidR="00591EC1" w:rsidRPr="00A42E41" w:rsidRDefault="00591EC1" w:rsidP="00E7396B">
      <w:pPr>
        <w:pStyle w:val="Akapitzlist"/>
        <w:numPr>
          <w:ilvl w:val="0"/>
          <w:numId w:val="19"/>
        </w:numPr>
        <w:spacing w:before="120" w:after="120" w:line="240" w:lineRule="auto"/>
        <w:ind w:left="567"/>
        <w:contextualSpacing w:val="0"/>
        <w:jc w:val="both"/>
        <w:rPr>
          <w:sz w:val="24"/>
          <w:szCs w:val="24"/>
        </w:rPr>
      </w:pPr>
      <w:r w:rsidRPr="00A42E41">
        <w:rPr>
          <w:sz w:val="24"/>
          <w:szCs w:val="24"/>
        </w:rPr>
        <w:t>Ponadto Międzynarodowa Organizacja Pracy ustanowiła</w:t>
      </w:r>
      <w:r>
        <w:rPr>
          <w:sz w:val="24"/>
          <w:szCs w:val="24"/>
        </w:rPr>
        <w:t xml:space="preserve"> osiem „</w:t>
      </w:r>
      <w:r w:rsidRPr="00A42E41">
        <w:rPr>
          <w:sz w:val="24"/>
          <w:szCs w:val="24"/>
        </w:rPr>
        <w:t>podstawowych konwencji</w:t>
      </w:r>
      <w:r>
        <w:rPr>
          <w:sz w:val="24"/>
          <w:szCs w:val="24"/>
        </w:rPr>
        <w:t>”</w:t>
      </w:r>
      <w:r w:rsidRPr="00A42E41">
        <w:rPr>
          <w:sz w:val="24"/>
          <w:szCs w:val="24"/>
        </w:rPr>
        <w:t xml:space="preserve">, które </w:t>
      </w:r>
      <w:r>
        <w:rPr>
          <w:sz w:val="24"/>
          <w:szCs w:val="24"/>
        </w:rPr>
        <w:t>mają znaczenie z punktu widzenia</w:t>
      </w:r>
      <w:r w:rsidRPr="00A42E41">
        <w:rPr>
          <w:sz w:val="24"/>
          <w:szCs w:val="24"/>
        </w:rPr>
        <w:t xml:space="preserve"> biznesu i praw człowieka, i które zostały ratyfikowane przez większość państw członkowskich Rady Europy: Konwencja dotycząca pracy przymusowej (</w:t>
      </w:r>
      <w:r>
        <w:rPr>
          <w:sz w:val="24"/>
          <w:szCs w:val="24"/>
        </w:rPr>
        <w:t>n</w:t>
      </w:r>
      <w:r w:rsidRPr="00A42E41">
        <w:rPr>
          <w:sz w:val="24"/>
          <w:szCs w:val="24"/>
        </w:rPr>
        <w:t>r 29, 1930) oraz Protokół do niej z 2014 r. (</w:t>
      </w:r>
      <w:r>
        <w:rPr>
          <w:sz w:val="24"/>
          <w:szCs w:val="24"/>
        </w:rPr>
        <w:t>stan prawny</w:t>
      </w:r>
      <w:r w:rsidRPr="00A42E41">
        <w:rPr>
          <w:sz w:val="24"/>
          <w:szCs w:val="24"/>
        </w:rPr>
        <w:t xml:space="preserve"> na listopad 2015 r., nie wszedł jeszcze w życie), art. 2</w:t>
      </w:r>
      <w:r>
        <w:rPr>
          <w:sz w:val="24"/>
          <w:szCs w:val="24"/>
        </w:rPr>
        <w:t xml:space="preserve"> lit.</w:t>
      </w:r>
      <w:r w:rsidRPr="00A42E41">
        <w:rPr>
          <w:sz w:val="24"/>
          <w:szCs w:val="24"/>
        </w:rPr>
        <w:t xml:space="preserve"> e Protokołu stanowi, że każde państwo członkowskie powinno wspierać procedurę należytej staranności w </w:t>
      </w:r>
      <w:r w:rsidRPr="00A42E41">
        <w:rPr>
          <w:sz w:val="24"/>
          <w:szCs w:val="24"/>
        </w:rPr>
        <w:lastRenderedPageBreak/>
        <w:t>sektorze prywatnym w celu zapobiegania i reagowania na zagrożenia przymusowej i obowiązkowej pracy; Konwencj</w:t>
      </w:r>
      <w:r>
        <w:rPr>
          <w:sz w:val="24"/>
          <w:szCs w:val="24"/>
        </w:rPr>
        <w:t>a</w:t>
      </w:r>
      <w:r w:rsidRPr="00A42E41">
        <w:rPr>
          <w:sz w:val="24"/>
          <w:szCs w:val="24"/>
        </w:rPr>
        <w:t xml:space="preserve"> dotycząc</w:t>
      </w:r>
      <w:r>
        <w:rPr>
          <w:sz w:val="24"/>
          <w:szCs w:val="24"/>
        </w:rPr>
        <w:t>a</w:t>
      </w:r>
      <w:r w:rsidRPr="00A42E41">
        <w:rPr>
          <w:sz w:val="24"/>
          <w:szCs w:val="24"/>
        </w:rPr>
        <w:t xml:space="preserve"> wolności związkowej i ochrony praw związkowych (nr 87, 1948); Konwencja dotycząca prawa do organizowania się i rokowań zbiorowych (nr 98, 1949); Konwencja dotycząca jednakowego wynagrodzenia (nr 100, 1951); Konwencja dotycząca zniesienia pracy przymusowej (nr 105, 1957); Konwencja dotycząca dyskryminacji w zakresie zatrudnienia i wykonywania zawodu, (nr 111, 1958); Konwencja dotycząca minimalnego wieku (nr 138, 1973); Konwencja dotycząca najgorszych form pracy dzieci (nr 182, 1999). Oprócz ośmiu podstawowych konwencji MOP przyjęła szereg kolejnych konwencji, które mają szczególne znaczenie, w tym </w:t>
      </w:r>
      <w:r>
        <w:rPr>
          <w:sz w:val="24"/>
          <w:szCs w:val="24"/>
        </w:rPr>
        <w:t>K</w:t>
      </w:r>
      <w:r w:rsidRPr="00A42E41">
        <w:rPr>
          <w:sz w:val="24"/>
          <w:szCs w:val="24"/>
        </w:rPr>
        <w:t>onwencj</w:t>
      </w:r>
      <w:r>
        <w:rPr>
          <w:sz w:val="24"/>
          <w:szCs w:val="24"/>
        </w:rPr>
        <w:t>ę</w:t>
      </w:r>
      <w:r w:rsidRPr="00A42E41">
        <w:rPr>
          <w:sz w:val="24"/>
          <w:szCs w:val="24"/>
        </w:rPr>
        <w:t xml:space="preserve"> dotycząc</w:t>
      </w:r>
      <w:r>
        <w:rPr>
          <w:sz w:val="24"/>
          <w:szCs w:val="24"/>
        </w:rPr>
        <w:t>ą</w:t>
      </w:r>
      <w:r w:rsidRPr="00A42E41">
        <w:rPr>
          <w:sz w:val="24"/>
          <w:szCs w:val="24"/>
        </w:rPr>
        <w:t xml:space="preserve"> bezpieczeństwa i higieny pracy (nr 155, 1981), Konwencj</w:t>
      </w:r>
      <w:r>
        <w:rPr>
          <w:sz w:val="24"/>
          <w:szCs w:val="24"/>
        </w:rPr>
        <w:t>ę</w:t>
      </w:r>
      <w:r w:rsidRPr="00A42E41">
        <w:rPr>
          <w:sz w:val="24"/>
          <w:szCs w:val="24"/>
        </w:rPr>
        <w:t xml:space="preserve"> dotycząc</w:t>
      </w:r>
      <w:r>
        <w:rPr>
          <w:sz w:val="24"/>
          <w:szCs w:val="24"/>
        </w:rPr>
        <w:t>ą</w:t>
      </w:r>
      <w:r w:rsidRPr="00A42E41">
        <w:rPr>
          <w:sz w:val="24"/>
          <w:szCs w:val="24"/>
        </w:rPr>
        <w:t xml:space="preserve"> struktur promujących bezpieczeństwo i higienę pracy (nr 187, 2006), Konwencj</w:t>
      </w:r>
      <w:r>
        <w:rPr>
          <w:sz w:val="24"/>
          <w:szCs w:val="24"/>
        </w:rPr>
        <w:t>ę</w:t>
      </w:r>
      <w:r w:rsidRPr="00A42E41">
        <w:rPr>
          <w:sz w:val="24"/>
          <w:szCs w:val="24"/>
        </w:rPr>
        <w:t xml:space="preserve"> dotycząc</w:t>
      </w:r>
      <w:r>
        <w:rPr>
          <w:sz w:val="24"/>
          <w:szCs w:val="24"/>
        </w:rPr>
        <w:t>ą</w:t>
      </w:r>
      <w:r w:rsidRPr="00A42E41">
        <w:rPr>
          <w:sz w:val="24"/>
          <w:szCs w:val="24"/>
        </w:rPr>
        <w:t xml:space="preserve"> zapobiegania poważnym wypadkom przemysłowym (nr 174, 1993) oraz Konwencję rdzennej i plemiennej ludności (nr 169, 1989).</w:t>
      </w:r>
    </w:p>
    <w:p w:rsidR="00591EC1" w:rsidRPr="00A42E41" w:rsidRDefault="00591EC1" w:rsidP="00E7396B">
      <w:pPr>
        <w:pStyle w:val="Akapitzlist"/>
        <w:numPr>
          <w:ilvl w:val="0"/>
          <w:numId w:val="19"/>
        </w:numPr>
        <w:spacing w:before="120" w:after="120" w:line="240" w:lineRule="auto"/>
        <w:ind w:left="567"/>
        <w:contextualSpacing w:val="0"/>
        <w:jc w:val="both"/>
        <w:rPr>
          <w:sz w:val="24"/>
          <w:szCs w:val="24"/>
        </w:rPr>
      </w:pPr>
      <w:r w:rsidRPr="00A42E41">
        <w:rPr>
          <w:sz w:val="24"/>
          <w:szCs w:val="24"/>
        </w:rPr>
        <w:t>Więcej informacji, w szczególności nt. innych istotnych konwenc</w:t>
      </w:r>
      <w:r>
        <w:rPr>
          <w:sz w:val="24"/>
          <w:szCs w:val="24"/>
        </w:rPr>
        <w:t>ji, można znaleźć w dokumencie „</w:t>
      </w:r>
      <w:r w:rsidRPr="00A42E41">
        <w:rPr>
          <w:sz w:val="24"/>
          <w:szCs w:val="24"/>
        </w:rPr>
        <w:t>Istniejące zobowiązania państw członkowskich wynikając</w:t>
      </w:r>
      <w:r>
        <w:rPr>
          <w:sz w:val="24"/>
          <w:szCs w:val="24"/>
        </w:rPr>
        <w:t>e</w:t>
      </w:r>
      <w:r w:rsidRPr="00A42E41">
        <w:rPr>
          <w:sz w:val="24"/>
          <w:szCs w:val="24"/>
        </w:rPr>
        <w:t xml:space="preserve"> z traktatów Rady Europy i innych instrumentów w kontekście praw człowie</w:t>
      </w:r>
      <w:r>
        <w:rPr>
          <w:sz w:val="24"/>
          <w:szCs w:val="24"/>
        </w:rPr>
        <w:t>ka i biznesu”</w:t>
      </w:r>
      <w:r w:rsidRPr="00A42E41">
        <w:rPr>
          <w:sz w:val="24"/>
          <w:szCs w:val="24"/>
        </w:rPr>
        <w:t xml:space="preserve"> (CDDH-CORP (2014)08), który </w:t>
      </w:r>
      <w:r>
        <w:rPr>
          <w:sz w:val="24"/>
          <w:szCs w:val="24"/>
        </w:rPr>
        <w:t>został</w:t>
      </w:r>
      <w:r w:rsidRPr="00A42E41">
        <w:rPr>
          <w:sz w:val="24"/>
          <w:szCs w:val="24"/>
        </w:rPr>
        <w:t xml:space="preserve"> przygotowany przez Sekretariat i jest dostępny na stronie internetowej CDDH-CORP. W odniesieniu do pełnego spektrum praw człowieka </w:t>
      </w:r>
      <w:r w:rsidRPr="00A42E41">
        <w:rPr>
          <w:sz w:val="24"/>
          <w:szCs w:val="24"/>
          <w:u w:val="single"/>
        </w:rPr>
        <w:t>paragraf 3 Rekomendacji</w:t>
      </w:r>
      <w:r w:rsidRPr="00A42E41">
        <w:rPr>
          <w:sz w:val="24"/>
          <w:szCs w:val="24"/>
        </w:rPr>
        <w:t xml:space="preserve"> stanowi, że państwa członkowskie, które nie wyraziły zgody na związanie się konwencją, o której mowa w niniejszej Rekomendacji</w:t>
      </w:r>
      <w:r>
        <w:rPr>
          <w:sz w:val="24"/>
          <w:szCs w:val="24"/>
        </w:rPr>
        <w:t>,</w:t>
      </w:r>
      <w:r w:rsidRPr="00A42E41">
        <w:rPr>
          <w:sz w:val="24"/>
          <w:szCs w:val="24"/>
        </w:rPr>
        <w:t xml:space="preserve"> powinny rozważyć</w:t>
      </w:r>
      <w:r>
        <w:rPr>
          <w:sz w:val="24"/>
          <w:szCs w:val="24"/>
        </w:rPr>
        <w:t xml:space="preserve"> podjęcie takiego kroku</w:t>
      </w:r>
      <w:r w:rsidRPr="00A42E41">
        <w:rPr>
          <w:sz w:val="24"/>
          <w:szCs w:val="24"/>
        </w:rPr>
        <w:t>.</w:t>
      </w:r>
    </w:p>
    <w:p w:rsidR="00591EC1" w:rsidRPr="00A42E41" w:rsidRDefault="00591EC1" w:rsidP="00E7396B">
      <w:pPr>
        <w:pStyle w:val="Akapitzlist"/>
        <w:spacing w:before="120" w:after="120" w:line="240" w:lineRule="auto"/>
        <w:ind w:left="1080"/>
        <w:contextualSpacing w:val="0"/>
        <w:jc w:val="both"/>
        <w:rPr>
          <w:sz w:val="24"/>
          <w:szCs w:val="24"/>
        </w:rPr>
      </w:pPr>
    </w:p>
    <w:p w:rsidR="00591EC1" w:rsidRPr="00FE4290" w:rsidRDefault="00591EC1" w:rsidP="00E7396B">
      <w:pPr>
        <w:pStyle w:val="Akapitzlist"/>
        <w:spacing w:before="120" w:after="120" w:line="240" w:lineRule="auto"/>
        <w:ind w:left="567"/>
        <w:contextualSpacing w:val="0"/>
        <w:jc w:val="both"/>
        <w:rPr>
          <w:i/>
          <w:sz w:val="24"/>
          <w:szCs w:val="24"/>
        </w:rPr>
      </w:pPr>
      <w:r w:rsidRPr="00FE4290">
        <w:rPr>
          <w:i/>
          <w:sz w:val="24"/>
          <w:szCs w:val="24"/>
        </w:rPr>
        <w:t>Spójność i jednolitość implementacji Wytycznych ONZ</w:t>
      </w:r>
    </w:p>
    <w:p w:rsidR="00591EC1" w:rsidRPr="001B422F" w:rsidRDefault="00591EC1" w:rsidP="00E7396B">
      <w:pPr>
        <w:pStyle w:val="Akapitzlist"/>
        <w:numPr>
          <w:ilvl w:val="0"/>
          <w:numId w:val="19"/>
        </w:numPr>
        <w:spacing w:before="120" w:after="120" w:line="240" w:lineRule="auto"/>
        <w:ind w:left="567"/>
        <w:contextualSpacing w:val="0"/>
        <w:jc w:val="both"/>
        <w:rPr>
          <w:sz w:val="24"/>
          <w:szCs w:val="24"/>
        </w:rPr>
      </w:pPr>
      <w:r w:rsidRPr="009A6D13">
        <w:rPr>
          <w:sz w:val="24"/>
          <w:szCs w:val="24"/>
          <w:u w:val="single"/>
        </w:rPr>
        <w:t>Paragraf 3 Rekomendacji</w:t>
      </w:r>
      <w:r>
        <w:rPr>
          <w:sz w:val="24"/>
          <w:szCs w:val="24"/>
        </w:rPr>
        <w:t xml:space="preserve"> z</w:t>
      </w:r>
      <w:r w:rsidRPr="00A42E41">
        <w:rPr>
          <w:sz w:val="24"/>
          <w:szCs w:val="24"/>
        </w:rPr>
        <w:t xml:space="preserve">achęca państwa członkowskie do zapewnienia spójności i jednolitości na wszystkich szczeblach administracji rządowej przy wdrażaniu </w:t>
      </w:r>
      <w:r>
        <w:rPr>
          <w:sz w:val="24"/>
          <w:szCs w:val="24"/>
        </w:rPr>
        <w:t>W</w:t>
      </w:r>
      <w:r w:rsidRPr="00A42E41">
        <w:rPr>
          <w:sz w:val="24"/>
          <w:szCs w:val="24"/>
        </w:rPr>
        <w:t>ytycznych ONZ dotyczących biznesu i praw człowieka. Zasada 8 Wytycznych ONZ stanowi</w:t>
      </w:r>
      <w:r>
        <w:rPr>
          <w:sz w:val="24"/>
          <w:szCs w:val="24"/>
        </w:rPr>
        <w:t>, że</w:t>
      </w:r>
      <w:r w:rsidRPr="00A42E41">
        <w:rPr>
          <w:rFonts w:eastAsiaTheme="minorEastAsia" w:cs="Calibri"/>
          <w:b/>
          <w:bCs/>
          <w:sz w:val="24"/>
          <w:szCs w:val="24"/>
          <w:lang w:eastAsia="pl-PL"/>
        </w:rPr>
        <w:t xml:space="preserve"> „</w:t>
      </w:r>
      <w:r w:rsidRPr="00A42E41">
        <w:rPr>
          <w:bCs/>
          <w:sz w:val="24"/>
          <w:szCs w:val="24"/>
        </w:rPr>
        <w:t>Państwa powinny zapewnić, by ministerstwa, agencje rządowe i inne instytucje państwowe kształtujące praktykę biznesową były świadome zobowiązań państwa w zakresie praw człowieka i przestrzegały ich podczas wypełniania swoich zadań, między innymi poprzez zapewnienie tym instytucjom właściwej informacji, szkoleń i wsparcia.</w:t>
      </w:r>
      <w:r>
        <w:rPr>
          <w:sz w:val="24"/>
          <w:szCs w:val="24"/>
        </w:rPr>
        <w:t>”</w:t>
      </w:r>
      <w:r w:rsidRPr="00A42E41">
        <w:rPr>
          <w:sz w:val="24"/>
          <w:szCs w:val="24"/>
        </w:rPr>
        <w:t xml:space="preserve"> W tym celu rządy</w:t>
      </w:r>
      <w:r>
        <w:rPr>
          <w:sz w:val="24"/>
          <w:szCs w:val="24"/>
        </w:rPr>
        <w:t xml:space="preserve"> powinny</w:t>
      </w:r>
      <w:r w:rsidRPr="00A42E41">
        <w:rPr>
          <w:sz w:val="24"/>
          <w:szCs w:val="24"/>
        </w:rPr>
        <w:t xml:space="preserve"> uświadomi</w:t>
      </w:r>
      <w:r>
        <w:rPr>
          <w:sz w:val="24"/>
          <w:szCs w:val="24"/>
        </w:rPr>
        <w:t>ć</w:t>
      </w:r>
      <w:r w:rsidRPr="00A42E41">
        <w:rPr>
          <w:sz w:val="24"/>
          <w:szCs w:val="24"/>
        </w:rPr>
        <w:t xml:space="preserve"> sobie, że muszą być </w:t>
      </w:r>
      <w:r>
        <w:rPr>
          <w:sz w:val="24"/>
          <w:szCs w:val="24"/>
        </w:rPr>
        <w:t>konsekwentne</w:t>
      </w:r>
      <w:r w:rsidRPr="00A42E41">
        <w:rPr>
          <w:sz w:val="24"/>
          <w:szCs w:val="24"/>
        </w:rPr>
        <w:t xml:space="preserve"> i unikać wysyłania sprzecznych komunikatów. Niektóre państwa członkowskie, które przyjęły już Krajowe Plany </w:t>
      </w:r>
      <w:r w:rsidRPr="001B422F">
        <w:rPr>
          <w:sz w:val="24"/>
          <w:szCs w:val="24"/>
        </w:rPr>
        <w:t>Działania, podjęły w nich tę kwestię, na przykład poprzez koordynację międzyresortowych grupy roboczych z przedstawicielami departamentów i agencji, których praca dotyczy społecznej odpowiedzialności biznesu i dziedzin związanych z prawami człowieka.</w:t>
      </w:r>
    </w:p>
    <w:p w:rsidR="00591EC1" w:rsidRPr="001B422F" w:rsidRDefault="00591EC1" w:rsidP="00E7396B">
      <w:pPr>
        <w:pStyle w:val="Akapitzlist"/>
        <w:numPr>
          <w:ilvl w:val="0"/>
          <w:numId w:val="19"/>
        </w:numPr>
        <w:spacing w:before="120" w:after="120" w:line="240" w:lineRule="auto"/>
        <w:ind w:left="567"/>
        <w:contextualSpacing w:val="0"/>
        <w:jc w:val="both"/>
        <w:rPr>
          <w:sz w:val="24"/>
          <w:szCs w:val="24"/>
        </w:rPr>
      </w:pPr>
      <w:r w:rsidRPr="001B422F">
        <w:rPr>
          <w:sz w:val="24"/>
          <w:szCs w:val="24"/>
        </w:rPr>
        <w:t>Przy wdrażaniu Wytycznych ONZ, w tym poprzez opracowanie Krajowych Planów Działania, państwa członkowskie powinny zaangażować oraz przeprowadzić pełne konsultacje ze wszystkimi zainteresowanymi stronami, w tym przedstawicielami biznesu i społeczeństwa obywatelskiego. Państwa członkowskie zachęca się w szczególności do zaangażowania odpowiednich partnerów społecznych we wdrażanie tych części Wytycznych ONZ, które w szczególności dotykają praw pracowników.</w:t>
      </w:r>
    </w:p>
    <w:p w:rsidR="00591EC1" w:rsidRDefault="00591EC1" w:rsidP="00E7396B">
      <w:pPr>
        <w:pStyle w:val="Akapitzlist"/>
        <w:spacing w:before="120" w:after="120" w:line="240" w:lineRule="auto"/>
        <w:ind w:left="1080"/>
        <w:contextualSpacing w:val="0"/>
        <w:jc w:val="both"/>
        <w:rPr>
          <w:sz w:val="24"/>
          <w:szCs w:val="24"/>
        </w:rPr>
      </w:pPr>
    </w:p>
    <w:p w:rsidR="00277B72" w:rsidRPr="00A42E41" w:rsidRDefault="00277B72" w:rsidP="00E7396B">
      <w:pPr>
        <w:pStyle w:val="Akapitzlist"/>
        <w:spacing w:before="120" w:after="120" w:line="240" w:lineRule="auto"/>
        <w:ind w:left="1080"/>
        <w:contextualSpacing w:val="0"/>
        <w:jc w:val="both"/>
        <w:rPr>
          <w:sz w:val="24"/>
          <w:szCs w:val="24"/>
        </w:rPr>
      </w:pPr>
    </w:p>
    <w:p w:rsidR="00591EC1" w:rsidRPr="00FE4290" w:rsidRDefault="00591EC1" w:rsidP="00E7396B">
      <w:pPr>
        <w:pStyle w:val="Akapitzlist"/>
        <w:spacing w:before="120" w:after="120" w:line="240" w:lineRule="auto"/>
        <w:ind w:left="567"/>
        <w:contextualSpacing w:val="0"/>
        <w:jc w:val="both"/>
        <w:rPr>
          <w:i/>
          <w:sz w:val="24"/>
          <w:szCs w:val="24"/>
        </w:rPr>
      </w:pPr>
      <w:r w:rsidRPr="00FE4290">
        <w:rPr>
          <w:i/>
          <w:sz w:val="24"/>
          <w:szCs w:val="24"/>
        </w:rPr>
        <w:lastRenderedPageBreak/>
        <w:t xml:space="preserve">Oczekiwanie, że przedsiębiorstwa wdrożą Wytyczne ONZ </w:t>
      </w:r>
    </w:p>
    <w:p w:rsidR="00591EC1" w:rsidRPr="00A42E41" w:rsidRDefault="00591EC1" w:rsidP="00E7396B">
      <w:pPr>
        <w:pStyle w:val="Akapitzlist"/>
        <w:numPr>
          <w:ilvl w:val="0"/>
          <w:numId w:val="19"/>
        </w:numPr>
        <w:spacing w:before="120" w:after="120" w:line="240" w:lineRule="auto"/>
        <w:ind w:left="567"/>
        <w:contextualSpacing w:val="0"/>
        <w:jc w:val="both"/>
        <w:rPr>
          <w:sz w:val="24"/>
          <w:szCs w:val="24"/>
        </w:rPr>
      </w:pPr>
      <w:r w:rsidRPr="001A226A">
        <w:rPr>
          <w:sz w:val="24"/>
          <w:szCs w:val="24"/>
        </w:rPr>
        <w:t>Paragraf</w:t>
      </w:r>
      <w:r w:rsidRPr="009A6D13">
        <w:rPr>
          <w:sz w:val="24"/>
          <w:szCs w:val="24"/>
          <w:u w:val="single"/>
        </w:rPr>
        <w:t xml:space="preserve"> 5 niniejszej Rekomendacji </w:t>
      </w:r>
      <w:r w:rsidRPr="00A42E41">
        <w:rPr>
          <w:sz w:val="24"/>
          <w:szCs w:val="24"/>
        </w:rPr>
        <w:t xml:space="preserve">wzywa państwa członkowskie do wyraźnego </w:t>
      </w:r>
      <w:r>
        <w:rPr>
          <w:sz w:val="24"/>
          <w:szCs w:val="24"/>
        </w:rPr>
        <w:t>sformułowania</w:t>
      </w:r>
      <w:r w:rsidRPr="00A42E41">
        <w:rPr>
          <w:sz w:val="24"/>
          <w:szCs w:val="24"/>
        </w:rPr>
        <w:t xml:space="preserve"> oczekiwania, że wszystkie przedsiębiorstwa, które mają swoją siedzibę lub działają w ramach ich jurysdykcji, wdrożą Wytyczne ONZ w całej swojej działalności, zgodnie z Zasadą 2 Wytycznych ONZ. Jest to „fundamentalna</w:t>
      </w:r>
      <w:r>
        <w:rPr>
          <w:sz w:val="24"/>
          <w:szCs w:val="24"/>
        </w:rPr>
        <w:t xml:space="preserve"> zasada”</w:t>
      </w:r>
      <w:r w:rsidRPr="00A42E41">
        <w:rPr>
          <w:sz w:val="24"/>
          <w:szCs w:val="24"/>
        </w:rPr>
        <w:t xml:space="preserve">, która stanowi podstawę licznych </w:t>
      </w:r>
      <w:r>
        <w:rPr>
          <w:sz w:val="24"/>
          <w:szCs w:val="24"/>
        </w:rPr>
        <w:t>za</w:t>
      </w:r>
      <w:r w:rsidRPr="00A42E41">
        <w:rPr>
          <w:sz w:val="24"/>
          <w:szCs w:val="24"/>
        </w:rPr>
        <w:t>pisów zarówno niniejszej Rekomendacji</w:t>
      </w:r>
      <w:r>
        <w:rPr>
          <w:sz w:val="24"/>
          <w:szCs w:val="24"/>
        </w:rPr>
        <w:t>, jak i</w:t>
      </w:r>
      <w:r w:rsidRPr="00A42E41">
        <w:rPr>
          <w:sz w:val="24"/>
          <w:szCs w:val="24"/>
        </w:rPr>
        <w:t xml:space="preserve"> Wytycznych ONZ. Ponadto oczekiwania rządów w stosunku do przedsiębiorstw zostały zawarte w już istniejących </w:t>
      </w:r>
      <w:r>
        <w:rPr>
          <w:sz w:val="24"/>
          <w:szCs w:val="24"/>
        </w:rPr>
        <w:t>K</w:t>
      </w:r>
      <w:r w:rsidRPr="00A42E41">
        <w:rPr>
          <w:sz w:val="24"/>
          <w:szCs w:val="24"/>
        </w:rPr>
        <w:t xml:space="preserve">rajowych </w:t>
      </w:r>
      <w:r>
        <w:rPr>
          <w:sz w:val="24"/>
          <w:szCs w:val="24"/>
        </w:rPr>
        <w:t>P</w:t>
      </w:r>
      <w:r w:rsidRPr="00A42E41">
        <w:rPr>
          <w:sz w:val="24"/>
          <w:szCs w:val="24"/>
        </w:rPr>
        <w:t xml:space="preserve">lanach </w:t>
      </w:r>
      <w:r>
        <w:rPr>
          <w:sz w:val="24"/>
          <w:szCs w:val="24"/>
        </w:rPr>
        <w:t>D</w:t>
      </w:r>
      <w:r w:rsidRPr="00A42E41">
        <w:rPr>
          <w:sz w:val="24"/>
          <w:szCs w:val="24"/>
        </w:rPr>
        <w:t>ziałania państw członkowskich Rady Europy.</w:t>
      </w:r>
    </w:p>
    <w:p w:rsidR="00591EC1" w:rsidRPr="00A42E41" w:rsidRDefault="00591EC1" w:rsidP="00E7396B">
      <w:pPr>
        <w:pStyle w:val="Akapitzlist"/>
        <w:spacing w:before="120" w:after="120" w:line="240" w:lineRule="auto"/>
        <w:ind w:left="1080"/>
        <w:contextualSpacing w:val="0"/>
        <w:jc w:val="both"/>
        <w:rPr>
          <w:sz w:val="24"/>
          <w:szCs w:val="24"/>
        </w:rPr>
      </w:pPr>
    </w:p>
    <w:p w:rsidR="00591EC1" w:rsidRPr="00FE4290" w:rsidRDefault="00591EC1" w:rsidP="00E7396B">
      <w:pPr>
        <w:pStyle w:val="Akapitzlist"/>
        <w:spacing w:before="120" w:after="120" w:line="240" w:lineRule="auto"/>
        <w:ind w:left="567"/>
        <w:contextualSpacing w:val="0"/>
        <w:jc w:val="both"/>
        <w:rPr>
          <w:i/>
          <w:sz w:val="24"/>
          <w:szCs w:val="24"/>
        </w:rPr>
      </w:pPr>
      <w:r w:rsidRPr="00FE4290">
        <w:rPr>
          <w:i/>
          <w:sz w:val="24"/>
          <w:szCs w:val="24"/>
        </w:rPr>
        <w:t xml:space="preserve">Dalsze działania ułatwiające rozpowszechnianie </w:t>
      </w:r>
    </w:p>
    <w:p w:rsidR="00591EC1" w:rsidRPr="00A42E41" w:rsidRDefault="00591EC1" w:rsidP="00E7396B">
      <w:pPr>
        <w:pStyle w:val="Akapitzlist"/>
        <w:numPr>
          <w:ilvl w:val="0"/>
          <w:numId w:val="19"/>
        </w:numPr>
        <w:spacing w:before="120" w:after="120" w:line="240" w:lineRule="auto"/>
        <w:ind w:left="567"/>
        <w:contextualSpacing w:val="0"/>
        <w:jc w:val="both"/>
        <w:rPr>
          <w:sz w:val="24"/>
          <w:szCs w:val="24"/>
        </w:rPr>
      </w:pPr>
      <w:r w:rsidRPr="00A42E41">
        <w:rPr>
          <w:sz w:val="24"/>
          <w:szCs w:val="24"/>
        </w:rPr>
        <w:t xml:space="preserve">Wytyczne ONZ dotyczące biznesu i praw człowieka są dostępne w oficjalnych językach Organizacji Narodów Zjednoczonych (angielskim, francuskim, rosyjskim, hiszpańskim, arabskim i chińskim). </w:t>
      </w:r>
      <w:r w:rsidRPr="007F1000">
        <w:rPr>
          <w:sz w:val="24"/>
          <w:szCs w:val="24"/>
          <w:u w:val="single"/>
        </w:rPr>
        <w:t>Paragraf 6 niniejszej Rekomendacji</w:t>
      </w:r>
      <w:r w:rsidRPr="00A42E41">
        <w:rPr>
          <w:sz w:val="24"/>
          <w:szCs w:val="24"/>
        </w:rPr>
        <w:t xml:space="preserve"> wzywa państwa członkowskie do wsp</w:t>
      </w:r>
      <w:r>
        <w:rPr>
          <w:sz w:val="24"/>
          <w:szCs w:val="24"/>
        </w:rPr>
        <w:t>ierania</w:t>
      </w:r>
      <w:r w:rsidRPr="00A42E41">
        <w:rPr>
          <w:sz w:val="24"/>
          <w:szCs w:val="24"/>
        </w:rPr>
        <w:t xml:space="preserve"> tłumaczenia i rozpowszechniania Wytycznych, w szczególności w sektorach, w których świadomość</w:t>
      </w:r>
      <w:r>
        <w:rPr>
          <w:sz w:val="24"/>
          <w:szCs w:val="24"/>
        </w:rPr>
        <w:t xml:space="preserve"> problematyki</w:t>
      </w:r>
      <w:r w:rsidRPr="00A42E41">
        <w:rPr>
          <w:sz w:val="24"/>
          <w:szCs w:val="24"/>
        </w:rPr>
        <w:t xml:space="preserve"> nie jest jeszcze </w:t>
      </w:r>
      <w:r>
        <w:rPr>
          <w:sz w:val="24"/>
          <w:szCs w:val="24"/>
        </w:rPr>
        <w:t xml:space="preserve">na </w:t>
      </w:r>
      <w:r w:rsidRPr="00A42E41">
        <w:rPr>
          <w:sz w:val="24"/>
          <w:szCs w:val="24"/>
        </w:rPr>
        <w:t xml:space="preserve">dostatecznie wysokim poziomie. Dobrym przykładem w tym względzie może być sporządzony przez Komisję Europejską </w:t>
      </w:r>
      <w:r>
        <w:rPr>
          <w:sz w:val="24"/>
          <w:szCs w:val="24"/>
        </w:rPr>
        <w:t>„</w:t>
      </w:r>
      <w:r w:rsidRPr="00A42E41">
        <w:rPr>
          <w:sz w:val="24"/>
          <w:szCs w:val="24"/>
        </w:rPr>
        <w:t>Przewodnik po prawach człowieka dla ma</w:t>
      </w:r>
      <w:r>
        <w:rPr>
          <w:sz w:val="24"/>
          <w:szCs w:val="24"/>
        </w:rPr>
        <w:t>łych i średnich przedsiębiorstw”</w:t>
      </w:r>
      <w:r w:rsidRPr="00A42E41">
        <w:rPr>
          <w:sz w:val="24"/>
          <w:szCs w:val="24"/>
        </w:rPr>
        <w:t xml:space="preserve"> z grudnia 2012 r.</w:t>
      </w:r>
      <w:r>
        <w:rPr>
          <w:sz w:val="24"/>
          <w:szCs w:val="24"/>
        </w:rPr>
        <w:t xml:space="preserve"> Publikacja </w:t>
      </w:r>
      <w:r w:rsidRPr="00A42E41">
        <w:rPr>
          <w:sz w:val="24"/>
          <w:szCs w:val="24"/>
        </w:rPr>
        <w:t>zaadresowan</w:t>
      </w:r>
      <w:r>
        <w:rPr>
          <w:sz w:val="24"/>
          <w:szCs w:val="24"/>
        </w:rPr>
        <w:t>a jest</w:t>
      </w:r>
      <w:r w:rsidRPr="00A42E41">
        <w:rPr>
          <w:sz w:val="24"/>
          <w:szCs w:val="24"/>
        </w:rPr>
        <w:t xml:space="preserve"> do małych i średnich przedsiębiorstw, które mogą</w:t>
      </w:r>
      <w:r>
        <w:rPr>
          <w:sz w:val="24"/>
          <w:szCs w:val="24"/>
        </w:rPr>
        <w:t xml:space="preserve"> ustępować firmom międzynarodowym pod względem</w:t>
      </w:r>
      <w:r w:rsidRPr="00A42E41">
        <w:rPr>
          <w:sz w:val="24"/>
          <w:szCs w:val="24"/>
        </w:rPr>
        <w:t xml:space="preserve"> świadomości</w:t>
      </w:r>
      <w:r>
        <w:rPr>
          <w:sz w:val="24"/>
          <w:szCs w:val="24"/>
        </w:rPr>
        <w:t xml:space="preserve"> tematu</w:t>
      </w:r>
      <w:r w:rsidRPr="00A42E41">
        <w:rPr>
          <w:sz w:val="24"/>
          <w:szCs w:val="24"/>
        </w:rPr>
        <w:t xml:space="preserve"> i zasobów</w:t>
      </w:r>
      <w:r>
        <w:rPr>
          <w:sz w:val="24"/>
          <w:szCs w:val="24"/>
        </w:rPr>
        <w:t>, a tym samym nie sprostać wymogowi</w:t>
      </w:r>
      <w:r w:rsidRPr="00A42E41">
        <w:rPr>
          <w:sz w:val="24"/>
          <w:szCs w:val="24"/>
        </w:rPr>
        <w:t xml:space="preserve"> należytej staranności w zakresie praw człowieka. Ponadto, poszczególne sektory (takie jak </w:t>
      </w:r>
      <w:r>
        <w:rPr>
          <w:sz w:val="24"/>
          <w:szCs w:val="24"/>
        </w:rPr>
        <w:t xml:space="preserve">przemysł </w:t>
      </w:r>
      <w:r w:rsidRPr="00A42E41">
        <w:rPr>
          <w:sz w:val="24"/>
          <w:szCs w:val="24"/>
        </w:rPr>
        <w:t>tekstyl</w:t>
      </w:r>
      <w:r>
        <w:rPr>
          <w:sz w:val="24"/>
          <w:szCs w:val="24"/>
        </w:rPr>
        <w:t>ny i</w:t>
      </w:r>
      <w:r w:rsidRPr="00A42E41">
        <w:rPr>
          <w:sz w:val="24"/>
          <w:szCs w:val="24"/>
        </w:rPr>
        <w:t xml:space="preserve"> wydobywcz</w:t>
      </w:r>
      <w:r>
        <w:rPr>
          <w:sz w:val="24"/>
          <w:szCs w:val="24"/>
        </w:rPr>
        <w:t>y</w:t>
      </w:r>
      <w:r w:rsidRPr="00A42E41">
        <w:rPr>
          <w:sz w:val="24"/>
          <w:szCs w:val="24"/>
        </w:rPr>
        <w:t xml:space="preserve">, </w:t>
      </w:r>
      <w:r>
        <w:rPr>
          <w:sz w:val="24"/>
          <w:szCs w:val="24"/>
        </w:rPr>
        <w:t>przedsiębiorstwa eksportujące</w:t>
      </w:r>
      <w:r w:rsidRPr="00A42E41">
        <w:rPr>
          <w:sz w:val="24"/>
          <w:szCs w:val="24"/>
        </w:rPr>
        <w:t xml:space="preserve"> </w:t>
      </w:r>
      <w:r>
        <w:rPr>
          <w:sz w:val="24"/>
          <w:szCs w:val="24"/>
        </w:rPr>
        <w:t>urządzenia do</w:t>
      </w:r>
      <w:r w:rsidRPr="00A42E41">
        <w:rPr>
          <w:sz w:val="24"/>
          <w:szCs w:val="24"/>
        </w:rPr>
        <w:t xml:space="preserve"> nadzoru) mogą stwarzać zwiększone zagrożenie naruszenia praw człowieka, które</w:t>
      </w:r>
      <w:r>
        <w:rPr>
          <w:sz w:val="24"/>
          <w:szCs w:val="24"/>
        </w:rPr>
        <w:t>go skala będzie uzależniona</w:t>
      </w:r>
      <w:r w:rsidRPr="00A42E41">
        <w:rPr>
          <w:sz w:val="24"/>
          <w:szCs w:val="24"/>
        </w:rPr>
        <w:t xml:space="preserve"> od </w:t>
      </w:r>
      <w:r>
        <w:rPr>
          <w:sz w:val="24"/>
          <w:szCs w:val="24"/>
        </w:rPr>
        <w:t>konkretnego</w:t>
      </w:r>
      <w:r w:rsidRPr="00A42E41">
        <w:rPr>
          <w:sz w:val="24"/>
          <w:szCs w:val="24"/>
        </w:rPr>
        <w:t xml:space="preserve"> kontekstu. Powyższe może uzasadniać </w:t>
      </w:r>
      <w:r>
        <w:rPr>
          <w:sz w:val="24"/>
          <w:szCs w:val="24"/>
        </w:rPr>
        <w:t>podejmowanie przez państwa członkowskie</w:t>
      </w:r>
      <w:r w:rsidRPr="00A42E41">
        <w:rPr>
          <w:sz w:val="24"/>
          <w:szCs w:val="24"/>
        </w:rPr>
        <w:t xml:space="preserve"> </w:t>
      </w:r>
      <w:r>
        <w:rPr>
          <w:sz w:val="24"/>
          <w:szCs w:val="24"/>
        </w:rPr>
        <w:t>określonych</w:t>
      </w:r>
      <w:r w:rsidRPr="00A42E41">
        <w:rPr>
          <w:sz w:val="24"/>
          <w:szCs w:val="24"/>
        </w:rPr>
        <w:t xml:space="preserve"> lub ukierunkowan</w:t>
      </w:r>
      <w:r>
        <w:rPr>
          <w:sz w:val="24"/>
          <w:szCs w:val="24"/>
        </w:rPr>
        <w:t>ych</w:t>
      </w:r>
      <w:r w:rsidRPr="00A42E41">
        <w:rPr>
          <w:sz w:val="24"/>
          <w:szCs w:val="24"/>
        </w:rPr>
        <w:t xml:space="preserve"> działa</w:t>
      </w:r>
      <w:r>
        <w:rPr>
          <w:sz w:val="24"/>
          <w:szCs w:val="24"/>
        </w:rPr>
        <w:t>ń w celu</w:t>
      </w:r>
      <w:r w:rsidRPr="00A42E41">
        <w:rPr>
          <w:sz w:val="24"/>
          <w:szCs w:val="24"/>
        </w:rPr>
        <w:t xml:space="preserve"> upowszechniania Wytycznych ONZ na poziomie krajowym. Jednocześnie państwa członkowskie muszą wziąć pod uwagę, że skala i złożoność środków, poprzez które przedsiębiorstwa spełniają swój obowiązek przestrzegania praw człowieka</w:t>
      </w:r>
      <w:r>
        <w:rPr>
          <w:sz w:val="24"/>
          <w:szCs w:val="24"/>
        </w:rPr>
        <w:t>,</w:t>
      </w:r>
      <w:r w:rsidRPr="00A42E41">
        <w:rPr>
          <w:sz w:val="24"/>
          <w:szCs w:val="24"/>
        </w:rPr>
        <w:t xml:space="preserve"> mogą się różnić w zależności od ich wielkości, kontekstu działalności, </w:t>
      </w:r>
      <w:r>
        <w:rPr>
          <w:sz w:val="24"/>
          <w:szCs w:val="24"/>
        </w:rPr>
        <w:t xml:space="preserve">stosunków </w:t>
      </w:r>
      <w:r w:rsidRPr="00A42E41">
        <w:rPr>
          <w:sz w:val="24"/>
          <w:szCs w:val="24"/>
        </w:rPr>
        <w:t>własności</w:t>
      </w:r>
      <w:r>
        <w:rPr>
          <w:sz w:val="24"/>
          <w:szCs w:val="24"/>
        </w:rPr>
        <w:t>owych</w:t>
      </w:r>
      <w:r w:rsidRPr="00A42E41">
        <w:rPr>
          <w:sz w:val="24"/>
          <w:szCs w:val="24"/>
        </w:rPr>
        <w:t xml:space="preserve"> i struktury</w:t>
      </w:r>
      <w:r>
        <w:rPr>
          <w:sz w:val="24"/>
          <w:szCs w:val="24"/>
        </w:rPr>
        <w:t xml:space="preserve"> oraz</w:t>
      </w:r>
      <w:r w:rsidRPr="00A42E41">
        <w:rPr>
          <w:sz w:val="24"/>
          <w:szCs w:val="24"/>
        </w:rPr>
        <w:t xml:space="preserve"> w</w:t>
      </w:r>
      <w:r>
        <w:rPr>
          <w:sz w:val="24"/>
          <w:szCs w:val="24"/>
        </w:rPr>
        <w:t xml:space="preserve"> związku</w:t>
      </w:r>
      <w:r w:rsidRPr="00A42E41">
        <w:rPr>
          <w:sz w:val="24"/>
          <w:szCs w:val="24"/>
        </w:rPr>
        <w:t xml:space="preserve"> z dotkliwością niekorzystnego wpływu</w:t>
      </w:r>
      <w:r>
        <w:rPr>
          <w:sz w:val="24"/>
          <w:szCs w:val="24"/>
        </w:rPr>
        <w:t>, jaki dana firma wywiera</w:t>
      </w:r>
      <w:r w:rsidRPr="00A42E41">
        <w:rPr>
          <w:sz w:val="24"/>
          <w:szCs w:val="24"/>
        </w:rPr>
        <w:t xml:space="preserve"> na prawa człowieka.</w:t>
      </w:r>
    </w:p>
    <w:p w:rsidR="00591EC1" w:rsidRPr="00A42E41" w:rsidRDefault="00591EC1" w:rsidP="00E7396B">
      <w:pPr>
        <w:pStyle w:val="Akapitzlist"/>
        <w:numPr>
          <w:ilvl w:val="0"/>
          <w:numId w:val="19"/>
        </w:numPr>
        <w:spacing w:before="120" w:after="120" w:line="240" w:lineRule="auto"/>
        <w:ind w:left="567"/>
        <w:contextualSpacing w:val="0"/>
        <w:jc w:val="both"/>
        <w:rPr>
          <w:sz w:val="24"/>
          <w:szCs w:val="24"/>
        </w:rPr>
      </w:pPr>
      <w:r w:rsidRPr="00A42E41">
        <w:rPr>
          <w:sz w:val="24"/>
          <w:szCs w:val="24"/>
          <w:u w:val="single"/>
        </w:rPr>
        <w:t>Paragr</w:t>
      </w:r>
      <w:r w:rsidRPr="00CF1FB3">
        <w:rPr>
          <w:sz w:val="24"/>
          <w:szCs w:val="24"/>
          <w:u w:val="single"/>
        </w:rPr>
        <w:t>af 7 niniejszej Rekomendacji</w:t>
      </w:r>
      <w:r w:rsidRPr="00A42E41">
        <w:rPr>
          <w:sz w:val="24"/>
          <w:szCs w:val="24"/>
        </w:rPr>
        <w:t xml:space="preserve"> zachęca państwa członkowskie do wspierania państw trzecich w procesie implementacji Wytycznych ONZ i innych odpowiednich standardów międzynarodowych, na przykład poprzez rozwijanie partnerstw lub oferowanie innego wsparcia, w szczególności w przypadku, gdy państwa trzecie </w:t>
      </w:r>
      <w:r>
        <w:rPr>
          <w:sz w:val="24"/>
          <w:szCs w:val="24"/>
        </w:rPr>
        <w:t>pragną</w:t>
      </w:r>
      <w:r w:rsidRPr="00A42E41">
        <w:rPr>
          <w:sz w:val="24"/>
          <w:szCs w:val="24"/>
        </w:rPr>
        <w:t xml:space="preserve"> </w:t>
      </w:r>
      <w:r>
        <w:rPr>
          <w:sz w:val="24"/>
          <w:szCs w:val="24"/>
        </w:rPr>
        <w:t>poszerzyć</w:t>
      </w:r>
      <w:r w:rsidRPr="00A42E41">
        <w:rPr>
          <w:sz w:val="24"/>
          <w:szCs w:val="24"/>
        </w:rPr>
        <w:t xml:space="preserve"> swój dostęp do środków zaradczych. W związku z tym niektóre państwa członkowskie włączyły tą kwestię do </w:t>
      </w:r>
      <w:r>
        <w:rPr>
          <w:sz w:val="24"/>
          <w:szCs w:val="24"/>
        </w:rPr>
        <w:t>swy</w:t>
      </w:r>
      <w:r w:rsidRPr="00A42E41">
        <w:rPr>
          <w:sz w:val="24"/>
          <w:szCs w:val="24"/>
        </w:rPr>
        <w:t>ch Krajowych Planów Działania oraz utworzyły partnerstwa z niektórymi państwami trzecimi,</w:t>
      </w:r>
      <w:r>
        <w:rPr>
          <w:sz w:val="24"/>
          <w:szCs w:val="24"/>
        </w:rPr>
        <w:t xml:space="preserve"> co znalazło swój</w:t>
      </w:r>
      <w:r w:rsidRPr="00A42E41">
        <w:rPr>
          <w:sz w:val="24"/>
          <w:szCs w:val="24"/>
        </w:rPr>
        <w:t xml:space="preserve"> wyra</w:t>
      </w:r>
      <w:r>
        <w:rPr>
          <w:sz w:val="24"/>
          <w:szCs w:val="24"/>
        </w:rPr>
        <w:t>z</w:t>
      </w:r>
      <w:r w:rsidRPr="00A42E41">
        <w:rPr>
          <w:sz w:val="24"/>
          <w:szCs w:val="24"/>
        </w:rPr>
        <w:t xml:space="preserve"> </w:t>
      </w:r>
      <w:r>
        <w:rPr>
          <w:sz w:val="24"/>
          <w:szCs w:val="24"/>
        </w:rPr>
        <w:t>np. we</w:t>
      </w:r>
      <w:r w:rsidRPr="00A42E41">
        <w:rPr>
          <w:sz w:val="24"/>
          <w:szCs w:val="24"/>
        </w:rPr>
        <w:t xml:space="preserve"> wspóln</w:t>
      </w:r>
      <w:r>
        <w:rPr>
          <w:sz w:val="24"/>
          <w:szCs w:val="24"/>
        </w:rPr>
        <w:t>ych</w:t>
      </w:r>
      <w:r w:rsidRPr="00A42E41">
        <w:rPr>
          <w:sz w:val="24"/>
          <w:szCs w:val="24"/>
        </w:rPr>
        <w:t xml:space="preserve"> oświadczenia</w:t>
      </w:r>
      <w:r>
        <w:rPr>
          <w:sz w:val="24"/>
          <w:szCs w:val="24"/>
        </w:rPr>
        <w:t>ch</w:t>
      </w:r>
      <w:r w:rsidRPr="00A42E41">
        <w:rPr>
          <w:sz w:val="24"/>
          <w:szCs w:val="24"/>
        </w:rPr>
        <w:t xml:space="preserve"> szefów rządów.</w:t>
      </w:r>
    </w:p>
    <w:p w:rsidR="00591EC1" w:rsidRPr="00A42E41" w:rsidRDefault="00591EC1" w:rsidP="00E7396B">
      <w:pPr>
        <w:pStyle w:val="Akapitzlist"/>
        <w:numPr>
          <w:ilvl w:val="0"/>
          <w:numId w:val="19"/>
        </w:numPr>
        <w:spacing w:before="120" w:after="120" w:line="240" w:lineRule="auto"/>
        <w:ind w:left="567"/>
        <w:contextualSpacing w:val="0"/>
        <w:jc w:val="both"/>
        <w:rPr>
          <w:sz w:val="24"/>
          <w:szCs w:val="24"/>
        </w:rPr>
      </w:pPr>
      <w:r w:rsidRPr="00CF1FB3">
        <w:rPr>
          <w:sz w:val="24"/>
          <w:szCs w:val="24"/>
          <w:u w:val="single"/>
        </w:rPr>
        <w:t>Paragraf 9 niniejszej Rekomendacji</w:t>
      </w:r>
      <w:r w:rsidRPr="00A42E41">
        <w:rPr>
          <w:sz w:val="24"/>
          <w:szCs w:val="24"/>
        </w:rPr>
        <w:t xml:space="preserve"> stanowi, że państwa członkowskie powinny wspierać działania ONZ, w tym Grupy Roboczej ds. </w:t>
      </w:r>
      <w:r>
        <w:rPr>
          <w:sz w:val="24"/>
          <w:szCs w:val="24"/>
        </w:rPr>
        <w:t>P</w:t>
      </w:r>
      <w:r w:rsidRPr="00A42E41">
        <w:rPr>
          <w:sz w:val="24"/>
          <w:szCs w:val="24"/>
        </w:rPr>
        <w:t xml:space="preserve">raw </w:t>
      </w:r>
      <w:r>
        <w:rPr>
          <w:sz w:val="24"/>
          <w:szCs w:val="24"/>
        </w:rPr>
        <w:t>C</w:t>
      </w:r>
      <w:r w:rsidRPr="00A42E41">
        <w:rPr>
          <w:sz w:val="24"/>
          <w:szCs w:val="24"/>
        </w:rPr>
        <w:t xml:space="preserve">złowieka oraz </w:t>
      </w:r>
      <w:r>
        <w:rPr>
          <w:sz w:val="24"/>
          <w:szCs w:val="24"/>
        </w:rPr>
        <w:t>K</w:t>
      </w:r>
      <w:r w:rsidRPr="00A42E41">
        <w:rPr>
          <w:sz w:val="24"/>
          <w:szCs w:val="24"/>
        </w:rPr>
        <w:t xml:space="preserve">orporacji </w:t>
      </w:r>
      <w:r>
        <w:rPr>
          <w:sz w:val="24"/>
          <w:szCs w:val="24"/>
        </w:rPr>
        <w:t>P</w:t>
      </w:r>
      <w:r w:rsidRPr="00A42E41">
        <w:rPr>
          <w:sz w:val="24"/>
          <w:szCs w:val="24"/>
        </w:rPr>
        <w:t xml:space="preserve">onadnarodowych i </w:t>
      </w:r>
      <w:r>
        <w:rPr>
          <w:sz w:val="24"/>
          <w:szCs w:val="24"/>
        </w:rPr>
        <w:t>I</w:t>
      </w:r>
      <w:r w:rsidRPr="00A42E41">
        <w:rPr>
          <w:sz w:val="24"/>
          <w:szCs w:val="24"/>
        </w:rPr>
        <w:t xml:space="preserve">nnych </w:t>
      </w:r>
      <w:r>
        <w:rPr>
          <w:sz w:val="24"/>
          <w:szCs w:val="24"/>
        </w:rPr>
        <w:t>P</w:t>
      </w:r>
      <w:r w:rsidRPr="00A42E41">
        <w:rPr>
          <w:sz w:val="24"/>
          <w:szCs w:val="24"/>
        </w:rPr>
        <w:t>rzedsiębiorstw (zwanej dalej „</w:t>
      </w:r>
      <w:r>
        <w:rPr>
          <w:sz w:val="24"/>
          <w:szCs w:val="24"/>
        </w:rPr>
        <w:t>G</w:t>
      </w:r>
      <w:r w:rsidRPr="00A42E41">
        <w:rPr>
          <w:sz w:val="24"/>
          <w:szCs w:val="24"/>
        </w:rPr>
        <w:t xml:space="preserve">rupą </w:t>
      </w:r>
      <w:r>
        <w:rPr>
          <w:sz w:val="24"/>
          <w:szCs w:val="24"/>
        </w:rPr>
        <w:t>R</w:t>
      </w:r>
      <w:r w:rsidRPr="00A42E41">
        <w:rPr>
          <w:sz w:val="24"/>
          <w:szCs w:val="24"/>
        </w:rPr>
        <w:t xml:space="preserve">oboczą ONZ ds. </w:t>
      </w:r>
      <w:r>
        <w:rPr>
          <w:sz w:val="24"/>
          <w:szCs w:val="24"/>
        </w:rPr>
        <w:t>B</w:t>
      </w:r>
      <w:r w:rsidRPr="00A42E41">
        <w:rPr>
          <w:sz w:val="24"/>
          <w:szCs w:val="24"/>
        </w:rPr>
        <w:t xml:space="preserve">iznesu i </w:t>
      </w:r>
      <w:r>
        <w:rPr>
          <w:sz w:val="24"/>
          <w:szCs w:val="24"/>
        </w:rPr>
        <w:t>P</w:t>
      </w:r>
      <w:r w:rsidRPr="00A42E41">
        <w:rPr>
          <w:sz w:val="24"/>
          <w:szCs w:val="24"/>
        </w:rPr>
        <w:t xml:space="preserve">raw </w:t>
      </w:r>
      <w:r>
        <w:rPr>
          <w:sz w:val="24"/>
          <w:szCs w:val="24"/>
        </w:rPr>
        <w:t>C</w:t>
      </w:r>
      <w:r w:rsidRPr="00A42E41">
        <w:rPr>
          <w:sz w:val="24"/>
          <w:szCs w:val="24"/>
        </w:rPr>
        <w:t>złowieka</w:t>
      </w:r>
      <w:r>
        <w:rPr>
          <w:sz w:val="24"/>
          <w:szCs w:val="24"/>
        </w:rPr>
        <w:t>”</w:t>
      </w:r>
      <w:r w:rsidRPr="00A42E41">
        <w:rPr>
          <w:sz w:val="24"/>
          <w:szCs w:val="24"/>
        </w:rPr>
        <w:t>)</w:t>
      </w:r>
      <w:r>
        <w:rPr>
          <w:sz w:val="24"/>
          <w:szCs w:val="24"/>
        </w:rPr>
        <w:t>,</w:t>
      </w:r>
      <w:r w:rsidRPr="00A42E41">
        <w:rPr>
          <w:sz w:val="24"/>
          <w:szCs w:val="24"/>
        </w:rPr>
        <w:t xml:space="preserve"> mające na celu promowanie skutecznego i kompleksowego rozpowszechniania i wdrażania Wytycznych ONZ w sprawie biznesu i praw człowieka. Grupa Robocza ONZ ds. </w:t>
      </w:r>
      <w:r>
        <w:rPr>
          <w:sz w:val="24"/>
          <w:szCs w:val="24"/>
        </w:rPr>
        <w:t>B</w:t>
      </w:r>
      <w:r w:rsidRPr="00A42E41">
        <w:rPr>
          <w:sz w:val="24"/>
          <w:szCs w:val="24"/>
        </w:rPr>
        <w:t xml:space="preserve">iznesu i </w:t>
      </w:r>
      <w:r>
        <w:rPr>
          <w:sz w:val="24"/>
          <w:szCs w:val="24"/>
        </w:rPr>
        <w:t>P</w:t>
      </w:r>
      <w:r w:rsidRPr="00A42E41">
        <w:rPr>
          <w:sz w:val="24"/>
          <w:szCs w:val="24"/>
        </w:rPr>
        <w:t xml:space="preserve">raw </w:t>
      </w:r>
      <w:r>
        <w:rPr>
          <w:sz w:val="24"/>
          <w:szCs w:val="24"/>
        </w:rPr>
        <w:t>C</w:t>
      </w:r>
      <w:r w:rsidRPr="00A42E41">
        <w:rPr>
          <w:sz w:val="24"/>
          <w:szCs w:val="24"/>
        </w:rPr>
        <w:t xml:space="preserve">złowieka została ustanowiona przez Radę </w:t>
      </w:r>
      <w:r w:rsidRPr="00A42E41">
        <w:rPr>
          <w:sz w:val="24"/>
          <w:szCs w:val="24"/>
        </w:rPr>
        <w:lastRenderedPageBreak/>
        <w:t>Praw Człowieka ONZ w czerwcu 2011 r. Składa się z pięciu niezależnych ekspertów</w:t>
      </w:r>
      <w:r>
        <w:rPr>
          <w:sz w:val="24"/>
          <w:szCs w:val="24"/>
        </w:rPr>
        <w:t xml:space="preserve"> wyłanianych z poszanowaniem zasady</w:t>
      </w:r>
      <w:r w:rsidRPr="00A42E41">
        <w:rPr>
          <w:sz w:val="24"/>
          <w:szCs w:val="24"/>
        </w:rPr>
        <w:t xml:space="preserve"> zrównoważonej reprezentacji</w:t>
      </w:r>
      <w:r>
        <w:rPr>
          <w:sz w:val="24"/>
          <w:szCs w:val="24"/>
        </w:rPr>
        <w:t xml:space="preserve"> geograficznej</w:t>
      </w:r>
      <w:r w:rsidRPr="00A42E41">
        <w:rPr>
          <w:sz w:val="24"/>
          <w:szCs w:val="24"/>
        </w:rPr>
        <w:t>, którzy są mianowani na okres trzech lat (w 2014 r.</w:t>
      </w:r>
      <w:r>
        <w:rPr>
          <w:sz w:val="24"/>
          <w:szCs w:val="24"/>
        </w:rPr>
        <w:t xml:space="preserve"> ich </w:t>
      </w:r>
      <w:r w:rsidRPr="00A42E41">
        <w:rPr>
          <w:sz w:val="24"/>
          <w:szCs w:val="24"/>
        </w:rPr>
        <w:t>mandat został przedłużony na kolejne trzy lata). Zadania Grupy Roboczej ONZ obejmują: promowanie skutecznego i kompleksowego rozpowszechniania i wdrażania Wytycznych ONZ; identyfikację, wymianę i promowanie dobrych praktyk i doświadczeń nabytych podczas</w:t>
      </w:r>
      <w:r>
        <w:rPr>
          <w:sz w:val="24"/>
          <w:szCs w:val="24"/>
        </w:rPr>
        <w:t xml:space="preserve"> </w:t>
      </w:r>
      <w:r w:rsidRPr="00A42E41">
        <w:rPr>
          <w:sz w:val="24"/>
          <w:szCs w:val="24"/>
        </w:rPr>
        <w:t>implementacji Wytycznych ONZ</w:t>
      </w:r>
      <w:r>
        <w:rPr>
          <w:sz w:val="24"/>
          <w:szCs w:val="24"/>
        </w:rPr>
        <w:t>, a także</w:t>
      </w:r>
      <w:r w:rsidRPr="00A42E41">
        <w:rPr>
          <w:sz w:val="24"/>
          <w:szCs w:val="24"/>
        </w:rPr>
        <w:t xml:space="preserve"> przeprowadzanie ocen oraz wydawanie zaleceń w tym zakresie; zapewni</w:t>
      </w:r>
      <w:r>
        <w:rPr>
          <w:sz w:val="24"/>
          <w:szCs w:val="24"/>
        </w:rPr>
        <w:t>a</w:t>
      </w:r>
      <w:r w:rsidRPr="00A42E41">
        <w:rPr>
          <w:sz w:val="24"/>
          <w:szCs w:val="24"/>
        </w:rPr>
        <w:t>nie wsparcia dla wysiłków na rzecz budowania potencjału i</w:t>
      </w:r>
      <w:r>
        <w:rPr>
          <w:sz w:val="24"/>
          <w:szCs w:val="24"/>
        </w:rPr>
        <w:t xml:space="preserve"> zachęcanie do</w:t>
      </w:r>
      <w:r w:rsidRPr="00A42E41">
        <w:rPr>
          <w:sz w:val="24"/>
          <w:szCs w:val="24"/>
        </w:rPr>
        <w:t xml:space="preserve"> korzystania z Wytycznych, a także udzielanie</w:t>
      </w:r>
      <w:r>
        <w:rPr>
          <w:sz w:val="24"/>
          <w:szCs w:val="24"/>
        </w:rPr>
        <w:t xml:space="preserve"> zainteresowanym podmiotom</w:t>
      </w:r>
      <w:r w:rsidRPr="00A42E41">
        <w:rPr>
          <w:sz w:val="24"/>
          <w:szCs w:val="24"/>
        </w:rPr>
        <w:t xml:space="preserve"> porad i zaleceń dotyczących rozwoju krajowej legislacji i polityki dotyczących biznesu i praw człowieka; kontynu</w:t>
      </w:r>
      <w:r>
        <w:rPr>
          <w:sz w:val="24"/>
          <w:szCs w:val="24"/>
        </w:rPr>
        <w:t>owanie</w:t>
      </w:r>
      <w:r w:rsidRPr="00A42E41">
        <w:rPr>
          <w:sz w:val="24"/>
          <w:szCs w:val="24"/>
        </w:rPr>
        <w:t xml:space="preserve"> badań nad możliwościami </w:t>
      </w:r>
      <w:r>
        <w:rPr>
          <w:sz w:val="24"/>
          <w:szCs w:val="24"/>
        </w:rPr>
        <w:t>oraz</w:t>
      </w:r>
      <w:r w:rsidRPr="00A42E41">
        <w:rPr>
          <w:sz w:val="24"/>
          <w:szCs w:val="24"/>
        </w:rPr>
        <w:t xml:space="preserve"> wydawani</w:t>
      </w:r>
      <w:r>
        <w:rPr>
          <w:sz w:val="24"/>
          <w:szCs w:val="24"/>
        </w:rPr>
        <w:t>e</w:t>
      </w:r>
      <w:r w:rsidRPr="00A42E41">
        <w:rPr>
          <w:sz w:val="24"/>
          <w:szCs w:val="24"/>
        </w:rPr>
        <w:t xml:space="preserve"> zaleceń na poziomie krajowym, regionalnym i międzynarodowym </w:t>
      </w:r>
      <w:r>
        <w:rPr>
          <w:sz w:val="24"/>
          <w:szCs w:val="24"/>
        </w:rPr>
        <w:t>w zakresie</w:t>
      </w:r>
      <w:r w:rsidRPr="00A42E41">
        <w:rPr>
          <w:sz w:val="24"/>
          <w:szCs w:val="24"/>
        </w:rPr>
        <w:t xml:space="preserve"> zwiększ</w:t>
      </w:r>
      <w:r>
        <w:rPr>
          <w:sz w:val="24"/>
          <w:szCs w:val="24"/>
        </w:rPr>
        <w:t>a</w:t>
      </w:r>
      <w:r w:rsidRPr="00A42E41">
        <w:rPr>
          <w:sz w:val="24"/>
          <w:szCs w:val="24"/>
        </w:rPr>
        <w:t>ni</w:t>
      </w:r>
      <w:r>
        <w:rPr>
          <w:sz w:val="24"/>
          <w:szCs w:val="24"/>
        </w:rPr>
        <w:t>a</w:t>
      </w:r>
      <w:r w:rsidRPr="00A42E41">
        <w:rPr>
          <w:sz w:val="24"/>
          <w:szCs w:val="24"/>
        </w:rPr>
        <w:t xml:space="preserve"> dostępu do skutecznych środków zaradczych </w:t>
      </w:r>
      <w:r>
        <w:rPr>
          <w:sz w:val="24"/>
          <w:szCs w:val="24"/>
        </w:rPr>
        <w:t>przysługujących</w:t>
      </w:r>
      <w:r w:rsidRPr="00A42E41">
        <w:rPr>
          <w:sz w:val="24"/>
          <w:szCs w:val="24"/>
        </w:rPr>
        <w:t xml:space="preserve"> ty</w:t>
      </w:r>
      <w:r>
        <w:rPr>
          <w:sz w:val="24"/>
          <w:szCs w:val="24"/>
        </w:rPr>
        <w:t>m</w:t>
      </w:r>
      <w:r w:rsidRPr="00A42E41">
        <w:rPr>
          <w:sz w:val="24"/>
          <w:szCs w:val="24"/>
        </w:rPr>
        <w:t>, których prawa człowieka są zagrożone przez działalność przedsiębiorstw, w tym w obszarach konfliktowych; oraz rozwijanie stałego dialogu i dyskutowanie nad możliwymi obszarami współpracy z rządami i wszystkimi właściwymi podmiotami.</w:t>
      </w:r>
    </w:p>
    <w:p w:rsidR="00ED1D8D" w:rsidRPr="00A42E41" w:rsidRDefault="00ED1D8D" w:rsidP="00E7396B">
      <w:pPr>
        <w:pStyle w:val="Akapitzlist"/>
        <w:spacing w:before="120" w:after="120" w:line="240" w:lineRule="auto"/>
        <w:ind w:left="1080"/>
        <w:contextualSpacing w:val="0"/>
        <w:jc w:val="both"/>
        <w:rPr>
          <w:sz w:val="24"/>
          <w:szCs w:val="24"/>
        </w:rPr>
      </w:pPr>
    </w:p>
    <w:p w:rsidR="00591EC1" w:rsidRPr="00A42E41" w:rsidRDefault="00591EC1" w:rsidP="00E7396B">
      <w:pPr>
        <w:pStyle w:val="Akapitzlist"/>
        <w:numPr>
          <w:ilvl w:val="0"/>
          <w:numId w:val="21"/>
        </w:numPr>
        <w:spacing w:before="120" w:after="120" w:line="240" w:lineRule="auto"/>
        <w:ind w:left="1418" w:hanging="284"/>
        <w:contextualSpacing w:val="0"/>
        <w:jc w:val="both"/>
        <w:rPr>
          <w:b/>
          <w:sz w:val="24"/>
          <w:szCs w:val="24"/>
        </w:rPr>
      </w:pPr>
      <w:r w:rsidRPr="00A42E41">
        <w:rPr>
          <w:b/>
          <w:sz w:val="24"/>
          <w:szCs w:val="24"/>
        </w:rPr>
        <w:t>Krajowe Plany Działania</w:t>
      </w:r>
    </w:p>
    <w:p w:rsidR="00591EC1" w:rsidRPr="00FE4290" w:rsidRDefault="00591EC1" w:rsidP="00E7396B">
      <w:pPr>
        <w:pStyle w:val="Akapitzlist"/>
        <w:spacing w:before="120" w:after="120" w:line="240" w:lineRule="auto"/>
        <w:ind w:left="567"/>
        <w:contextualSpacing w:val="0"/>
        <w:jc w:val="both"/>
        <w:rPr>
          <w:i/>
          <w:sz w:val="24"/>
          <w:szCs w:val="24"/>
        </w:rPr>
      </w:pPr>
      <w:r>
        <w:rPr>
          <w:i/>
          <w:sz w:val="24"/>
          <w:szCs w:val="24"/>
        </w:rPr>
        <w:t>Opracowanie</w:t>
      </w:r>
      <w:r w:rsidRPr="00FE4290">
        <w:rPr>
          <w:i/>
          <w:sz w:val="24"/>
          <w:szCs w:val="24"/>
        </w:rPr>
        <w:t xml:space="preserve"> Krajowych Planów Działania</w:t>
      </w:r>
    </w:p>
    <w:p w:rsidR="00591EC1" w:rsidRPr="00A42E41" w:rsidRDefault="00591EC1" w:rsidP="00E7396B">
      <w:pPr>
        <w:pStyle w:val="Akapitzlist"/>
        <w:numPr>
          <w:ilvl w:val="0"/>
          <w:numId w:val="19"/>
        </w:numPr>
        <w:spacing w:before="120" w:after="120" w:line="240" w:lineRule="auto"/>
        <w:ind w:left="567"/>
        <w:contextualSpacing w:val="0"/>
        <w:jc w:val="both"/>
        <w:rPr>
          <w:sz w:val="24"/>
          <w:szCs w:val="24"/>
        </w:rPr>
      </w:pPr>
      <w:r w:rsidRPr="00A42E41">
        <w:rPr>
          <w:sz w:val="24"/>
          <w:szCs w:val="24"/>
        </w:rPr>
        <w:t>W swojej deklaracji z dnia 16 kwietnia 2014 r.(paragraf 10d) Komitet Ministrów wezwał wszystkie państwa członkowskie do opracowania Krajowych Planów Działania w sprawie implementacji Wytycznych ONZ (dale</w:t>
      </w:r>
      <w:r>
        <w:rPr>
          <w:sz w:val="24"/>
          <w:szCs w:val="24"/>
        </w:rPr>
        <w:t>j: „Krajowe Plany Działania”</w:t>
      </w:r>
      <w:r w:rsidRPr="00A42E41">
        <w:rPr>
          <w:sz w:val="24"/>
          <w:szCs w:val="24"/>
        </w:rPr>
        <w:t xml:space="preserve">). </w:t>
      </w:r>
      <w:r w:rsidRPr="00A42E41">
        <w:rPr>
          <w:sz w:val="24"/>
          <w:szCs w:val="24"/>
          <w:u w:val="single"/>
        </w:rPr>
        <w:t xml:space="preserve">Paragraf </w:t>
      </w:r>
      <w:r w:rsidRPr="00CF1FB3">
        <w:rPr>
          <w:sz w:val="24"/>
          <w:szCs w:val="24"/>
          <w:u w:val="single"/>
        </w:rPr>
        <w:t>10 niniejszej Rekomendacji</w:t>
      </w:r>
      <w:r w:rsidRPr="00A42E41">
        <w:rPr>
          <w:sz w:val="24"/>
          <w:szCs w:val="24"/>
        </w:rPr>
        <w:t xml:space="preserve"> ponawia to wezwanie. Do końca 2015 r. kilka państw członkowskich Rady Europy przyjęło już takie plany, podczas gdy inne są w trakcie ich opracowywania.</w:t>
      </w:r>
    </w:p>
    <w:p w:rsidR="00591EC1" w:rsidRPr="00A42E41" w:rsidRDefault="00591EC1" w:rsidP="00E7396B">
      <w:pPr>
        <w:pStyle w:val="Akapitzlist"/>
        <w:spacing w:before="120" w:after="120" w:line="240" w:lineRule="auto"/>
        <w:ind w:left="1080"/>
        <w:contextualSpacing w:val="0"/>
        <w:jc w:val="both"/>
        <w:rPr>
          <w:sz w:val="24"/>
          <w:szCs w:val="24"/>
        </w:rPr>
      </w:pPr>
    </w:p>
    <w:p w:rsidR="00591EC1" w:rsidRPr="00FE4290" w:rsidRDefault="00591EC1" w:rsidP="00E7396B">
      <w:pPr>
        <w:pStyle w:val="Akapitzlist"/>
        <w:spacing w:before="120" w:after="120" w:line="240" w:lineRule="auto"/>
        <w:ind w:left="567"/>
        <w:contextualSpacing w:val="0"/>
        <w:jc w:val="both"/>
        <w:rPr>
          <w:i/>
          <w:sz w:val="24"/>
          <w:szCs w:val="24"/>
        </w:rPr>
      </w:pPr>
      <w:r w:rsidRPr="00FE4290">
        <w:rPr>
          <w:i/>
          <w:sz w:val="24"/>
          <w:szCs w:val="24"/>
        </w:rPr>
        <w:t>Dostępne poradnictwo</w:t>
      </w:r>
    </w:p>
    <w:p w:rsidR="00591EC1" w:rsidRPr="00A42E41" w:rsidRDefault="00591EC1" w:rsidP="00E7396B">
      <w:pPr>
        <w:pStyle w:val="Akapitzlist"/>
        <w:numPr>
          <w:ilvl w:val="0"/>
          <w:numId w:val="19"/>
        </w:numPr>
        <w:spacing w:before="120" w:after="120" w:line="240" w:lineRule="auto"/>
        <w:ind w:left="567"/>
        <w:contextualSpacing w:val="0"/>
        <w:jc w:val="both"/>
        <w:rPr>
          <w:sz w:val="24"/>
          <w:szCs w:val="24"/>
        </w:rPr>
      </w:pPr>
      <w:r w:rsidRPr="00CF1FB3">
        <w:rPr>
          <w:sz w:val="24"/>
          <w:szCs w:val="24"/>
          <w:u w:val="single"/>
        </w:rPr>
        <w:t>Paragraf 11 Rekomendacji</w:t>
      </w:r>
      <w:r w:rsidRPr="00A42E41">
        <w:rPr>
          <w:sz w:val="24"/>
          <w:szCs w:val="24"/>
        </w:rPr>
        <w:t xml:space="preserve"> zachęca państwa członkowskie</w:t>
      </w:r>
      <w:r>
        <w:rPr>
          <w:sz w:val="24"/>
          <w:szCs w:val="24"/>
        </w:rPr>
        <w:t>, aby</w:t>
      </w:r>
      <w:r w:rsidRPr="00A42E41">
        <w:rPr>
          <w:sz w:val="24"/>
          <w:szCs w:val="24"/>
        </w:rPr>
        <w:t xml:space="preserve"> </w:t>
      </w:r>
      <w:r>
        <w:rPr>
          <w:sz w:val="24"/>
          <w:szCs w:val="24"/>
        </w:rPr>
        <w:t>p</w:t>
      </w:r>
      <w:r w:rsidRPr="00A42E41">
        <w:rPr>
          <w:sz w:val="24"/>
          <w:szCs w:val="24"/>
        </w:rPr>
        <w:t>odczas opracowywania Krajowych Planów Działania wykorzyst</w:t>
      </w:r>
      <w:r>
        <w:rPr>
          <w:sz w:val="24"/>
          <w:szCs w:val="24"/>
        </w:rPr>
        <w:t>ywały</w:t>
      </w:r>
      <w:r w:rsidRPr="00A42E41">
        <w:rPr>
          <w:sz w:val="24"/>
          <w:szCs w:val="24"/>
        </w:rPr>
        <w:t xml:space="preserve"> dostępne poradnictw</w:t>
      </w:r>
      <w:r>
        <w:rPr>
          <w:sz w:val="24"/>
          <w:szCs w:val="24"/>
        </w:rPr>
        <w:t>o</w:t>
      </w:r>
      <w:r w:rsidRPr="00A42E41">
        <w:rPr>
          <w:sz w:val="24"/>
          <w:szCs w:val="24"/>
        </w:rPr>
        <w:t>, w tym</w:t>
      </w:r>
      <w:r>
        <w:rPr>
          <w:sz w:val="24"/>
          <w:szCs w:val="24"/>
        </w:rPr>
        <w:t xml:space="preserve"> zalecenia</w:t>
      </w:r>
      <w:r w:rsidRPr="00A42E41">
        <w:rPr>
          <w:sz w:val="24"/>
          <w:szCs w:val="24"/>
        </w:rPr>
        <w:t xml:space="preserve"> Grup</w:t>
      </w:r>
      <w:r>
        <w:rPr>
          <w:sz w:val="24"/>
          <w:szCs w:val="24"/>
        </w:rPr>
        <w:t>y</w:t>
      </w:r>
      <w:r w:rsidRPr="00A42E41">
        <w:rPr>
          <w:sz w:val="24"/>
          <w:szCs w:val="24"/>
        </w:rPr>
        <w:t xml:space="preserve"> Robocz</w:t>
      </w:r>
      <w:r>
        <w:rPr>
          <w:sz w:val="24"/>
          <w:szCs w:val="24"/>
        </w:rPr>
        <w:t>ej</w:t>
      </w:r>
      <w:r w:rsidRPr="00A42E41">
        <w:rPr>
          <w:sz w:val="24"/>
          <w:szCs w:val="24"/>
        </w:rPr>
        <w:t xml:space="preserve"> ONZ ds. </w:t>
      </w:r>
      <w:r>
        <w:rPr>
          <w:sz w:val="24"/>
          <w:szCs w:val="24"/>
        </w:rPr>
        <w:t>B</w:t>
      </w:r>
      <w:r w:rsidRPr="00A42E41">
        <w:rPr>
          <w:sz w:val="24"/>
          <w:szCs w:val="24"/>
        </w:rPr>
        <w:t xml:space="preserve">iznesu i </w:t>
      </w:r>
      <w:r>
        <w:rPr>
          <w:sz w:val="24"/>
          <w:szCs w:val="24"/>
        </w:rPr>
        <w:t>P</w:t>
      </w:r>
      <w:r w:rsidRPr="00A42E41">
        <w:rPr>
          <w:sz w:val="24"/>
          <w:szCs w:val="24"/>
        </w:rPr>
        <w:t xml:space="preserve">raw </w:t>
      </w:r>
      <w:r>
        <w:rPr>
          <w:sz w:val="24"/>
          <w:szCs w:val="24"/>
        </w:rPr>
        <w:t>C</w:t>
      </w:r>
      <w:r w:rsidRPr="00A42E41">
        <w:rPr>
          <w:sz w:val="24"/>
          <w:szCs w:val="24"/>
        </w:rPr>
        <w:t>złowieka. W 2014 r., po przeprowadzeniu otwartego procesu konsultacji, Grupa Robocza wydała</w:t>
      </w:r>
      <w:r>
        <w:rPr>
          <w:sz w:val="24"/>
          <w:szCs w:val="24"/>
        </w:rPr>
        <w:t xml:space="preserve"> „</w:t>
      </w:r>
      <w:r w:rsidRPr="00A42E41">
        <w:rPr>
          <w:sz w:val="24"/>
          <w:szCs w:val="24"/>
        </w:rPr>
        <w:t xml:space="preserve">Wskazówki dotyczące Krajowych Planów Działania w sprawie </w:t>
      </w:r>
      <w:r>
        <w:rPr>
          <w:sz w:val="24"/>
          <w:szCs w:val="24"/>
        </w:rPr>
        <w:t>biznesu i praw człowieka”</w:t>
      </w:r>
      <w:r w:rsidRPr="00A42E41">
        <w:rPr>
          <w:sz w:val="24"/>
          <w:szCs w:val="24"/>
        </w:rPr>
        <w:t xml:space="preserve">, które następnie zostały zmienione w listopadzie 2015 r. Przewodnik ten został stworzony jako dokument </w:t>
      </w:r>
      <w:r>
        <w:rPr>
          <w:sz w:val="24"/>
          <w:szCs w:val="24"/>
        </w:rPr>
        <w:t>pomocniczy</w:t>
      </w:r>
      <w:r w:rsidRPr="00A42E41">
        <w:rPr>
          <w:sz w:val="24"/>
          <w:szCs w:val="24"/>
        </w:rPr>
        <w:t xml:space="preserve"> dla wszystkich zainteresowanych stron </w:t>
      </w:r>
      <w:r>
        <w:rPr>
          <w:sz w:val="24"/>
          <w:szCs w:val="24"/>
        </w:rPr>
        <w:t>i</w:t>
      </w:r>
      <w:r w:rsidRPr="00A42E41">
        <w:rPr>
          <w:sz w:val="24"/>
          <w:szCs w:val="24"/>
        </w:rPr>
        <w:t xml:space="preserve"> op</w:t>
      </w:r>
      <w:r>
        <w:rPr>
          <w:sz w:val="24"/>
          <w:szCs w:val="24"/>
        </w:rPr>
        <w:t>iera się</w:t>
      </w:r>
      <w:r w:rsidRPr="00A42E41">
        <w:rPr>
          <w:sz w:val="24"/>
          <w:szCs w:val="24"/>
        </w:rPr>
        <w:t xml:space="preserve"> na założeniu, że nie ma jednej uniwersalnej koncepcji Krajowych Planów Działania. Niemniej jednak Grupa Robocza zidentyfikowała następujący pięciofazowy proces opracow</w:t>
      </w:r>
      <w:r>
        <w:rPr>
          <w:sz w:val="24"/>
          <w:szCs w:val="24"/>
        </w:rPr>
        <w:t>yw</w:t>
      </w:r>
      <w:r w:rsidRPr="00A42E41">
        <w:rPr>
          <w:sz w:val="24"/>
          <w:szCs w:val="24"/>
        </w:rPr>
        <w:t xml:space="preserve">ania </w:t>
      </w:r>
      <w:r>
        <w:rPr>
          <w:sz w:val="24"/>
          <w:szCs w:val="24"/>
        </w:rPr>
        <w:t>K</w:t>
      </w:r>
      <w:r w:rsidRPr="00A42E41">
        <w:rPr>
          <w:sz w:val="24"/>
          <w:szCs w:val="24"/>
        </w:rPr>
        <w:t xml:space="preserve">rajowych </w:t>
      </w:r>
      <w:r>
        <w:rPr>
          <w:sz w:val="24"/>
          <w:szCs w:val="24"/>
        </w:rPr>
        <w:t>P</w:t>
      </w:r>
      <w:r w:rsidRPr="00A42E41">
        <w:rPr>
          <w:sz w:val="24"/>
          <w:szCs w:val="24"/>
        </w:rPr>
        <w:t xml:space="preserve">lanów </w:t>
      </w:r>
      <w:r>
        <w:rPr>
          <w:sz w:val="24"/>
          <w:szCs w:val="24"/>
        </w:rPr>
        <w:t>D</w:t>
      </w:r>
      <w:r w:rsidRPr="00A42E41">
        <w:rPr>
          <w:sz w:val="24"/>
          <w:szCs w:val="24"/>
        </w:rPr>
        <w:t>ziałania: inicjacja</w:t>
      </w:r>
      <w:r>
        <w:rPr>
          <w:sz w:val="24"/>
          <w:szCs w:val="24"/>
        </w:rPr>
        <w:t>,</w:t>
      </w:r>
      <w:r w:rsidRPr="00A42E41">
        <w:rPr>
          <w:sz w:val="24"/>
          <w:szCs w:val="24"/>
        </w:rPr>
        <w:t xml:space="preserve"> ocena i konsultacja</w:t>
      </w:r>
      <w:r>
        <w:rPr>
          <w:sz w:val="24"/>
          <w:szCs w:val="24"/>
        </w:rPr>
        <w:t>,</w:t>
      </w:r>
      <w:r w:rsidRPr="00A42E41">
        <w:rPr>
          <w:sz w:val="24"/>
          <w:szCs w:val="24"/>
        </w:rPr>
        <w:t xml:space="preserve"> sporządzanie wstępnych </w:t>
      </w:r>
      <w:r>
        <w:rPr>
          <w:sz w:val="24"/>
          <w:szCs w:val="24"/>
        </w:rPr>
        <w:t>K</w:t>
      </w:r>
      <w:r w:rsidRPr="00A42E41">
        <w:rPr>
          <w:sz w:val="24"/>
          <w:szCs w:val="24"/>
        </w:rPr>
        <w:t xml:space="preserve">rajowych </w:t>
      </w:r>
      <w:r>
        <w:rPr>
          <w:sz w:val="24"/>
          <w:szCs w:val="24"/>
        </w:rPr>
        <w:t>P</w:t>
      </w:r>
      <w:r w:rsidRPr="00A42E41">
        <w:rPr>
          <w:sz w:val="24"/>
          <w:szCs w:val="24"/>
        </w:rPr>
        <w:t xml:space="preserve">lanów </w:t>
      </w:r>
      <w:r>
        <w:rPr>
          <w:sz w:val="24"/>
          <w:szCs w:val="24"/>
        </w:rPr>
        <w:t>D</w:t>
      </w:r>
      <w:r w:rsidRPr="00A42E41">
        <w:rPr>
          <w:sz w:val="24"/>
          <w:szCs w:val="24"/>
        </w:rPr>
        <w:t>ziałania</w:t>
      </w:r>
      <w:r>
        <w:rPr>
          <w:sz w:val="24"/>
          <w:szCs w:val="24"/>
        </w:rPr>
        <w:t>,</w:t>
      </w:r>
      <w:r w:rsidRPr="00A42E41">
        <w:rPr>
          <w:sz w:val="24"/>
          <w:szCs w:val="24"/>
        </w:rPr>
        <w:t xml:space="preserve"> implementacja i aktualizacja. Co do ogólnej istoty i treści, Grupa Robocza proponuje pewną strukturę z podziałem na poszczególne sekcje, która może być odpowiednia dla Krajowego Planu Działania. Określa ona również pewne podstawowe zasady </w:t>
      </w:r>
      <w:r>
        <w:rPr>
          <w:sz w:val="24"/>
          <w:szCs w:val="24"/>
        </w:rPr>
        <w:t>dotyczące</w:t>
      </w:r>
      <w:r w:rsidRPr="00A42E41">
        <w:rPr>
          <w:sz w:val="24"/>
          <w:szCs w:val="24"/>
        </w:rPr>
        <w:t xml:space="preserve"> reakcji rządu na negatywne skutki działalności biznesu w zakresie praw człowieka</w:t>
      </w:r>
      <w:r>
        <w:rPr>
          <w:sz w:val="24"/>
          <w:szCs w:val="24"/>
        </w:rPr>
        <w:t>.</w:t>
      </w:r>
      <w:r w:rsidRPr="00A42E41">
        <w:rPr>
          <w:sz w:val="24"/>
          <w:szCs w:val="24"/>
        </w:rPr>
        <w:t xml:space="preserve"> </w:t>
      </w:r>
      <w:r>
        <w:rPr>
          <w:sz w:val="24"/>
          <w:szCs w:val="24"/>
        </w:rPr>
        <w:t>P</w:t>
      </w:r>
      <w:r w:rsidRPr="00A42E41">
        <w:rPr>
          <w:sz w:val="24"/>
          <w:szCs w:val="24"/>
        </w:rPr>
        <w:t>o pierwsze, wszystkie zobowiązania</w:t>
      </w:r>
      <w:r>
        <w:rPr>
          <w:sz w:val="24"/>
          <w:szCs w:val="24"/>
        </w:rPr>
        <w:t xml:space="preserve"> zawarte</w:t>
      </w:r>
      <w:r w:rsidRPr="00A42E41">
        <w:rPr>
          <w:sz w:val="24"/>
          <w:szCs w:val="24"/>
        </w:rPr>
        <w:t xml:space="preserve"> w Krajowym Planie Działania muszą być ukierunkowane na </w:t>
      </w:r>
      <w:r w:rsidRPr="00A42E41">
        <w:rPr>
          <w:sz w:val="24"/>
          <w:szCs w:val="24"/>
        </w:rPr>
        <w:lastRenderedPageBreak/>
        <w:t>zapobieganie</w:t>
      </w:r>
      <w:r w:rsidRPr="00DC56E6">
        <w:rPr>
          <w:sz w:val="24"/>
          <w:szCs w:val="24"/>
        </w:rPr>
        <w:t xml:space="preserve"> </w:t>
      </w:r>
      <w:r>
        <w:rPr>
          <w:sz w:val="24"/>
          <w:szCs w:val="24"/>
        </w:rPr>
        <w:t>obecnym</w:t>
      </w:r>
      <w:r w:rsidRPr="00A42E41">
        <w:rPr>
          <w:sz w:val="24"/>
          <w:szCs w:val="24"/>
        </w:rPr>
        <w:t xml:space="preserve"> i potencjalny</w:t>
      </w:r>
      <w:r>
        <w:rPr>
          <w:sz w:val="24"/>
          <w:szCs w:val="24"/>
        </w:rPr>
        <w:t>m</w:t>
      </w:r>
      <w:r w:rsidRPr="00A42E41">
        <w:rPr>
          <w:sz w:val="24"/>
          <w:szCs w:val="24"/>
        </w:rPr>
        <w:t xml:space="preserve"> negatywny</w:t>
      </w:r>
      <w:r>
        <w:rPr>
          <w:sz w:val="24"/>
          <w:szCs w:val="24"/>
        </w:rPr>
        <w:t>m</w:t>
      </w:r>
      <w:r w:rsidRPr="00A42E41">
        <w:rPr>
          <w:sz w:val="24"/>
          <w:szCs w:val="24"/>
        </w:rPr>
        <w:t xml:space="preserve"> skutk</w:t>
      </w:r>
      <w:r>
        <w:rPr>
          <w:sz w:val="24"/>
          <w:szCs w:val="24"/>
        </w:rPr>
        <w:t>om</w:t>
      </w:r>
      <w:r w:rsidRPr="00A42E41">
        <w:rPr>
          <w:sz w:val="24"/>
          <w:szCs w:val="24"/>
        </w:rPr>
        <w:t>,</w:t>
      </w:r>
      <w:r>
        <w:rPr>
          <w:sz w:val="24"/>
          <w:szCs w:val="24"/>
        </w:rPr>
        <w:t xml:space="preserve"> a także na ich</w:t>
      </w:r>
      <w:r w:rsidRPr="00A42E41">
        <w:rPr>
          <w:sz w:val="24"/>
          <w:szCs w:val="24"/>
        </w:rPr>
        <w:t xml:space="preserve"> łagodzenie i usuwani</w:t>
      </w:r>
      <w:r>
        <w:rPr>
          <w:sz w:val="24"/>
          <w:szCs w:val="24"/>
        </w:rPr>
        <w:t>e.</w:t>
      </w:r>
      <w:r w:rsidRPr="00A42E41">
        <w:rPr>
          <w:sz w:val="24"/>
          <w:szCs w:val="24"/>
        </w:rPr>
        <w:t xml:space="preserve"> </w:t>
      </w:r>
      <w:r>
        <w:rPr>
          <w:sz w:val="24"/>
          <w:szCs w:val="24"/>
        </w:rPr>
        <w:t>P</w:t>
      </w:r>
      <w:r w:rsidRPr="00A42E41">
        <w:rPr>
          <w:sz w:val="24"/>
          <w:szCs w:val="24"/>
        </w:rPr>
        <w:t>o drugie, Wytyczne ONZ powinny być wykorzystywane do identyfikacji sposob</w:t>
      </w:r>
      <w:r>
        <w:rPr>
          <w:sz w:val="24"/>
          <w:szCs w:val="24"/>
        </w:rPr>
        <w:t>ów na</w:t>
      </w:r>
      <w:r w:rsidRPr="00A42E41">
        <w:rPr>
          <w:sz w:val="24"/>
          <w:szCs w:val="24"/>
        </w:rPr>
        <w:t xml:space="preserve"> wyeliminowani</w:t>
      </w:r>
      <w:r>
        <w:rPr>
          <w:sz w:val="24"/>
          <w:szCs w:val="24"/>
        </w:rPr>
        <w:t>e</w:t>
      </w:r>
      <w:r w:rsidRPr="00A42E41">
        <w:rPr>
          <w:sz w:val="24"/>
          <w:szCs w:val="24"/>
        </w:rPr>
        <w:t xml:space="preserve"> negatywnych skutków</w:t>
      </w:r>
      <w:r>
        <w:rPr>
          <w:sz w:val="24"/>
          <w:szCs w:val="24"/>
        </w:rPr>
        <w:t>.</w:t>
      </w:r>
      <w:r w:rsidRPr="00A42E41">
        <w:rPr>
          <w:sz w:val="24"/>
          <w:szCs w:val="24"/>
        </w:rPr>
        <w:t xml:space="preserve"> Po trzecie, rządy powinny zidentyfikować inteligentny zestaw obowiązkowych i dobrowolnych środków</w:t>
      </w:r>
      <w:r>
        <w:rPr>
          <w:sz w:val="24"/>
          <w:szCs w:val="24"/>
        </w:rPr>
        <w:t xml:space="preserve"> o charakterze</w:t>
      </w:r>
      <w:r w:rsidRPr="00A42E41">
        <w:rPr>
          <w:sz w:val="24"/>
          <w:szCs w:val="24"/>
        </w:rPr>
        <w:t xml:space="preserve"> międzynarodowy</w:t>
      </w:r>
      <w:r>
        <w:rPr>
          <w:sz w:val="24"/>
          <w:szCs w:val="24"/>
        </w:rPr>
        <w:t>m</w:t>
      </w:r>
      <w:r w:rsidRPr="00A42E41">
        <w:rPr>
          <w:sz w:val="24"/>
          <w:szCs w:val="24"/>
        </w:rPr>
        <w:t xml:space="preserve"> i krajowy</w:t>
      </w:r>
      <w:r>
        <w:rPr>
          <w:sz w:val="24"/>
          <w:szCs w:val="24"/>
        </w:rPr>
        <w:t>m.</w:t>
      </w:r>
      <w:r w:rsidRPr="00A42E41">
        <w:rPr>
          <w:sz w:val="24"/>
          <w:szCs w:val="24"/>
        </w:rPr>
        <w:t xml:space="preserve"> </w:t>
      </w:r>
      <w:r>
        <w:rPr>
          <w:sz w:val="24"/>
          <w:szCs w:val="24"/>
        </w:rPr>
        <w:t>I p</w:t>
      </w:r>
      <w:r w:rsidRPr="00A42E41">
        <w:rPr>
          <w:sz w:val="24"/>
          <w:szCs w:val="24"/>
        </w:rPr>
        <w:t>o czwarte, rządy powinny uwzględniać skutki w aspekcie płci i upewnić się, że środki określone w Krajowych Planach Działania pozwalają na skuteczne zapobieganie</w:t>
      </w:r>
      <w:r>
        <w:rPr>
          <w:sz w:val="24"/>
          <w:szCs w:val="24"/>
        </w:rPr>
        <w:t xml:space="preserve"> tego rodzaju skutkom</w:t>
      </w:r>
      <w:r w:rsidRPr="00A42E41">
        <w:rPr>
          <w:sz w:val="24"/>
          <w:szCs w:val="24"/>
        </w:rPr>
        <w:t>,</w:t>
      </w:r>
      <w:r>
        <w:rPr>
          <w:sz w:val="24"/>
          <w:szCs w:val="24"/>
        </w:rPr>
        <w:t xml:space="preserve"> a także na ich</w:t>
      </w:r>
      <w:r w:rsidRPr="00A42E41">
        <w:rPr>
          <w:sz w:val="24"/>
          <w:szCs w:val="24"/>
        </w:rPr>
        <w:t xml:space="preserve"> łagodzenie i </w:t>
      </w:r>
      <w:r>
        <w:rPr>
          <w:sz w:val="24"/>
          <w:szCs w:val="24"/>
        </w:rPr>
        <w:t>eliminowanie</w:t>
      </w:r>
      <w:r w:rsidRPr="00A42E41">
        <w:rPr>
          <w:sz w:val="24"/>
          <w:szCs w:val="24"/>
        </w:rPr>
        <w:t>.</w:t>
      </w:r>
    </w:p>
    <w:p w:rsidR="00591EC1" w:rsidRPr="00A42E41" w:rsidRDefault="00591EC1" w:rsidP="00E7396B">
      <w:pPr>
        <w:pStyle w:val="Akapitzlist"/>
        <w:numPr>
          <w:ilvl w:val="0"/>
          <w:numId w:val="19"/>
        </w:numPr>
        <w:spacing w:before="120" w:after="120" w:line="240" w:lineRule="auto"/>
        <w:ind w:left="567"/>
        <w:contextualSpacing w:val="0"/>
        <w:jc w:val="both"/>
        <w:rPr>
          <w:sz w:val="24"/>
          <w:szCs w:val="24"/>
        </w:rPr>
      </w:pPr>
      <w:r w:rsidRPr="00A42E41">
        <w:rPr>
          <w:sz w:val="24"/>
          <w:szCs w:val="24"/>
        </w:rPr>
        <w:t xml:space="preserve">Należy również zauważyć, że Międzynarodowy Okrągły Stół </w:t>
      </w:r>
      <w:proofErr w:type="spellStart"/>
      <w:r w:rsidRPr="00A42E41">
        <w:rPr>
          <w:sz w:val="24"/>
          <w:szCs w:val="24"/>
        </w:rPr>
        <w:t>ws</w:t>
      </w:r>
      <w:proofErr w:type="spellEnd"/>
      <w:r w:rsidRPr="00A42E41">
        <w:rPr>
          <w:sz w:val="24"/>
          <w:szCs w:val="24"/>
        </w:rPr>
        <w:t xml:space="preserve">. Odpowiedzialności Przedsiębiorstw i Duński Instytut Praw Człowieka stworzyły wspólny projekt, którego </w:t>
      </w:r>
      <w:r>
        <w:rPr>
          <w:sz w:val="24"/>
          <w:szCs w:val="24"/>
        </w:rPr>
        <w:t xml:space="preserve">owocem jest wydany </w:t>
      </w:r>
      <w:r w:rsidRPr="00A42E41">
        <w:rPr>
          <w:sz w:val="24"/>
          <w:szCs w:val="24"/>
        </w:rPr>
        <w:t xml:space="preserve">w </w:t>
      </w:r>
      <w:r>
        <w:rPr>
          <w:sz w:val="24"/>
          <w:szCs w:val="24"/>
        </w:rPr>
        <w:t>2014 r. przewodnik pt. „</w:t>
      </w:r>
      <w:r w:rsidRPr="00A42E41">
        <w:rPr>
          <w:sz w:val="24"/>
          <w:szCs w:val="24"/>
        </w:rPr>
        <w:t>Krajow</w:t>
      </w:r>
      <w:r>
        <w:rPr>
          <w:sz w:val="24"/>
          <w:szCs w:val="24"/>
        </w:rPr>
        <w:t>e</w:t>
      </w:r>
      <w:r w:rsidRPr="00A42E41">
        <w:rPr>
          <w:sz w:val="24"/>
          <w:szCs w:val="24"/>
        </w:rPr>
        <w:t xml:space="preserve"> Plan</w:t>
      </w:r>
      <w:r>
        <w:rPr>
          <w:sz w:val="24"/>
          <w:szCs w:val="24"/>
        </w:rPr>
        <w:t>y</w:t>
      </w:r>
      <w:r w:rsidRPr="00A42E41">
        <w:rPr>
          <w:sz w:val="24"/>
          <w:szCs w:val="24"/>
        </w:rPr>
        <w:t xml:space="preserve"> Działania w sprawie biznesu i praw człowieka: </w:t>
      </w:r>
      <w:r>
        <w:rPr>
          <w:sz w:val="24"/>
          <w:szCs w:val="24"/>
        </w:rPr>
        <w:t>z</w:t>
      </w:r>
      <w:r w:rsidRPr="00A42E41">
        <w:rPr>
          <w:sz w:val="24"/>
          <w:szCs w:val="24"/>
        </w:rPr>
        <w:t xml:space="preserve">estaw narzędzi do rozwoju, implementacji i przeglądu zobowiązań państwa w dziedzinie biznesu i </w:t>
      </w:r>
      <w:r>
        <w:rPr>
          <w:sz w:val="24"/>
          <w:szCs w:val="24"/>
        </w:rPr>
        <w:t>praw człowieka”</w:t>
      </w:r>
      <w:r w:rsidRPr="00A42E41">
        <w:rPr>
          <w:sz w:val="24"/>
          <w:szCs w:val="24"/>
        </w:rPr>
        <w:t>. Powyższy zestaw narzędzi zawiera listę kontrolną składającą się z dwudziestu pięciu kryteriów, według których można oceni</w:t>
      </w:r>
      <w:r>
        <w:rPr>
          <w:sz w:val="24"/>
          <w:szCs w:val="24"/>
        </w:rPr>
        <w:t>a</w:t>
      </w:r>
      <w:r w:rsidRPr="00A42E41">
        <w:rPr>
          <w:sz w:val="24"/>
          <w:szCs w:val="24"/>
        </w:rPr>
        <w:t xml:space="preserve">ć </w:t>
      </w:r>
      <w:r>
        <w:rPr>
          <w:sz w:val="24"/>
          <w:szCs w:val="24"/>
        </w:rPr>
        <w:t>Krajowe</w:t>
      </w:r>
      <w:r w:rsidRPr="00A42E41">
        <w:rPr>
          <w:sz w:val="24"/>
          <w:szCs w:val="24"/>
        </w:rPr>
        <w:t xml:space="preserve"> Plany Działania. Kryteria obejmują zarówno treść planu, jak i działania podejmowane przez państw</w:t>
      </w:r>
      <w:r>
        <w:rPr>
          <w:sz w:val="24"/>
          <w:szCs w:val="24"/>
        </w:rPr>
        <w:t>o</w:t>
      </w:r>
      <w:r w:rsidRPr="00A42E41">
        <w:rPr>
          <w:sz w:val="24"/>
          <w:szCs w:val="24"/>
        </w:rPr>
        <w:t xml:space="preserve"> w celu</w:t>
      </w:r>
      <w:r>
        <w:rPr>
          <w:sz w:val="24"/>
          <w:szCs w:val="24"/>
        </w:rPr>
        <w:t xml:space="preserve"> jego</w:t>
      </w:r>
      <w:r w:rsidRPr="00A42E41">
        <w:rPr>
          <w:sz w:val="24"/>
          <w:szCs w:val="24"/>
        </w:rPr>
        <w:t xml:space="preserve"> </w:t>
      </w:r>
      <w:r>
        <w:rPr>
          <w:sz w:val="24"/>
          <w:szCs w:val="24"/>
        </w:rPr>
        <w:t>rozwijania</w:t>
      </w:r>
      <w:r w:rsidRPr="00A42E41">
        <w:rPr>
          <w:sz w:val="24"/>
          <w:szCs w:val="24"/>
        </w:rPr>
        <w:t xml:space="preserve">. </w:t>
      </w:r>
      <w:r w:rsidRPr="000F2088">
        <w:rPr>
          <w:sz w:val="24"/>
          <w:szCs w:val="24"/>
        </w:rPr>
        <w:t>W szczególności</w:t>
      </w:r>
      <w:r w:rsidRPr="008957D3">
        <w:rPr>
          <w:sz w:val="24"/>
          <w:szCs w:val="24"/>
        </w:rPr>
        <w:t xml:space="preserve"> proponuje, aby krajowa ocena</w:t>
      </w:r>
      <w:r w:rsidRPr="00A42E41">
        <w:rPr>
          <w:sz w:val="24"/>
          <w:szCs w:val="24"/>
        </w:rPr>
        <w:t xml:space="preserve"> wytycznych </w:t>
      </w:r>
      <w:r>
        <w:rPr>
          <w:sz w:val="24"/>
          <w:szCs w:val="24"/>
        </w:rPr>
        <w:t>znajdowała odzwierciedlenie w</w:t>
      </w:r>
      <w:r w:rsidRPr="00A42E41">
        <w:rPr>
          <w:sz w:val="24"/>
          <w:szCs w:val="24"/>
        </w:rPr>
        <w:t xml:space="preserve"> </w:t>
      </w:r>
      <w:r>
        <w:rPr>
          <w:sz w:val="24"/>
          <w:szCs w:val="24"/>
        </w:rPr>
        <w:t>K</w:t>
      </w:r>
      <w:r w:rsidRPr="00A42E41">
        <w:rPr>
          <w:sz w:val="24"/>
          <w:szCs w:val="24"/>
        </w:rPr>
        <w:t xml:space="preserve">rajowych </w:t>
      </w:r>
      <w:r>
        <w:rPr>
          <w:sz w:val="24"/>
          <w:szCs w:val="24"/>
        </w:rPr>
        <w:t>P</w:t>
      </w:r>
      <w:r w:rsidRPr="00A42E41">
        <w:rPr>
          <w:sz w:val="24"/>
          <w:szCs w:val="24"/>
        </w:rPr>
        <w:t>lan</w:t>
      </w:r>
      <w:r>
        <w:rPr>
          <w:sz w:val="24"/>
          <w:szCs w:val="24"/>
        </w:rPr>
        <w:t>ach</w:t>
      </w:r>
      <w:r w:rsidRPr="00A42E41">
        <w:rPr>
          <w:sz w:val="24"/>
          <w:szCs w:val="24"/>
        </w:rPr>
        <w:t xml:space="preserve"> </w:t>
      </w:r>
      <w:r>
        <w:rPr>
          <w:sz w:val="24"/>
          <w:szCs w:val="24"/>
        </w:rPr>
        <w:t>D</w:t>
      </w:r>
      <w:r w:rsidRPr="00A42E41">
        <w:rPr>
          <w:sz w:val="24"/>
          <w:szCs w:val="24"/>
        </w:rPr>
        <w:t xml:space="preserve">ziałania. W tym samym roku Międzynarodowy Okrągły Stół </w:t>
      </w:r>
      <w:proofErr w:type="spellStart"/>
      <w:r w:rsidRPr="00A42E41">
        <w:rPr>
          <w:sz w:val="24"/>
          <w:szCs w:val="24"/>
        </w:rPr>
        <w:t>ws</w:t>
      </w:r>
      <w:proofErr w:type="spellEnd"/>
      <w:r w:rsidRPr="00A42E41">
        <w:rPr>
          <w:sz w:val="24"/>
          <w:szCs w:val="24"/>
        </w:rPr>
        <w:t xml:space="preserve">. Odpowiedzialności Przedsiębiorstw i Europejska Koalicja na rzecz Sprawiedliwości Korporacyjnej opublikowały ocenę powstałych do tego czasu </w:t>
      </w:r>
      <w:r>
        <w:rPr>
          <w:sz w:val="24"/>
          <w:szCs w:val="24"/>
        </w:rPr>
        <w:t>K</w:t>
      </w:r>
      <w:r w:rsidRPr="00A42E41">
        <w:rPr>
          <w:sz w:val="24"/>
          <w:szCs w:val="24"/>
        </w:rPr>
        <w:t xml:space="preserve">rajowych </w:t>
      </w:r>
      <w:r>
        <w:rPr>
          <w:sz w:val="24"/>
          <w:szCs w:val="24"/>
        </w:rPr>
        <w:t>P</w:t>
      </w:r>
      <w:r w:rsidRPr="00A42E41">
        <w:rPr>
          <w:sz w:val="24"/>
          <w:szCs w:val="24"/>
        </w:rPr>
        <w:t xml:space="preserve">lanów </w:t>
      </w:r>
      <w:r>
        <w:rPr>
          <w:sz w:val="24"/>
          <w:szCs w:val="24"/>
        </w:rPr>
        <w:t>D</w:t>
      </w:r>
      <w:r w:rsidRPr="00A42E41">
        <w:rPr>
          <w:sz w:val="24"/>
          <w:szCs w:val="24"/>
        </w:rPr>
        <w:t xml:space="preserve">ziałania (wszystkie zostały sporządzone w państwach członkowskich Rady Europy) </w:t>
      </w:r>
      <w:r>
        <w:rPr>
          <w:sz w:val="24"/>
          <w:szCs w:val="24"/>
        </w:rPr>
        <w:t>po</w:t>
      </w:r>
      <w:r w:rsidRPr="00A42E41">
        <w:rPr>
          <w:sz w:val="24"/>
          <w:szCs w:val="24"/>
        </w:rPr>
        <w:t>d względem treści i procedury w świetle listy kontrolnej zawartej</w:t>
      </w:r>
      <w:r>
        <w:rPr>
          <w:sz w:val="24"/>
          <w:szCs w:val="24"/>
        </w:rPr>
        <w:t xml:space="preserve"> w</w:t>
      </w:r>
      <w:r w:rsidRPr="00A42E41">
        <w:rPr>
          <w:sz w:val="24"/>
          <w:szCs w:val="24"/>
        </w:rPr>
        <w:t xml:space="preserve"> ww. zestawie narzędzi. Poddano również ocenie najlepsze praktyk</w:t>
      </w:r>
      <w:r>
        <w:rPr>
          <w:sz w:val="24"/>
          <w:szCs w:val="24"/>
        </w:rPr>
        <w:t>i</w:t>
      </w:r>
      <w:r w:rsidRPr="00A42E41">
        <w:rPr>
          <w:sz w:val="24"/>
          <w:szCs w:val="24"/>
        </w:rPr>
        <w:t xml:space="preserve"> oraz zasugerowano obszary wymagające poprawy.</w:t>
      </w:r>
    </w:p>
    <w:p w:rsidR="00591EC1" w:rsidRPr="00A42E41" w:rsidRDefault="00591EC1" w:rsidP="00E7396B">
      <w:pPr>
        <w:pStyle w:val="Akapitzlist"/>
        <w:spacing w:before="120" w:after="120" w:line="240" w:lineRule="auto"/>
        <w:ind w:left="1080"/>
        <w:contextualSpacing w:val="0"/>
        <w:jc w:val="both"/>
        <w:rPr>
          <w:sz w:val="24"/>
          <w:szCs w:val="24"/>
        </w:rPr>
      </w:pPr>
    </w:p>
    <w:p w:rsidR="00591EC1" w:rsidRPr="00FE4290" w:rsidRDefault="00591EC1" w:rsidP="00E7396B">
      <w:pPr>
        <w:pStyle w:val="Akapitzlist"/>
        <w:spacing w:before="120" w:after="120" w:line="240" w:lineRule="auto"/>
        <w:ind w:left="567"/>
        <w:contextualSpacing w:val="0"/>
        <w:jc w:val="both"/>
        <w:rPr>
          <w:i/>
          <w:sz w:val="24"/>
          <w:szCs w:val="24"/>
        </w:rPr>
      </w:pPr>
      <w:r w:rsidRPr="00FE4290">
        <w:rPr>
          <w:i/>
          <w:sz w:val="24"/>
          <w:szCs w:val="24"/>
        </w:rPr>
        <w:t>Najlepsze praktyki</w:t>
      </w:r>
    </w:p>
    <w:p w:rsidR="00591EC1" w:rsidRPr="00A42E41" w:rsidRDefault="00591EC1" w:rsidP="00E7396B">
      <w:pPr>
        <w:pStyle w:val="Akapitzlist"/>
        <w:numPr>
          <w:ilvl w:val="0"/>
          <w:numId w:val="19"/>
        </w:numPr>
        <w:spacing w:before="120" w:after="120" w:line="240" w:lineRule="auto"/>
        <w:ind w:left="567"/>
        <w:contextualSpacing w:val="0"/>
        <w:jc w:val="both"/>
        <w:rPr>
          <w:sz w:val="24"/>
          <w:szCs w:val="24"/>
        </w:rPr>
      </w:pPr>
      <w:r w:rsidRPr="00A42E41">
        <w:rPr>
          <w:sz w:val="24"/>
          <w:szCs w:val="24"/>
        </w:rPr>
        <w:t xml:space="preserve">Oprócz powyższych inicjatyw </w:t>
      </w:r>
      <w:r w:rsidRPr="00A42E41">
        <w:rPr>
          <w:sz w:val="24"/>
          <w:szCs w:val="24"/>
          <w:u w:val="single"/>
        </w:rPr>
        <w:t>paragraf 12 Rekomendacji</w:t>
      </w:r>
      <w:r w:rsidRPr="00A42E41">
        <w:rPr>
          <w:sz w:val="24"/>
          <w:szCs w:val="24"/>
        </w:rPr>
        <w:t xml:space="preserve"> sugeruje, </w:t>
      </w:r>
      <w:r>
        <w:rPr>
          <w:sz w:val="24"/>
          <w:szCs w:val="24"/>
        </w:rPr>
        <w:t>aby</w:t>
      </w:r>
      <w:r w:rsidRPr="00A42E41">
        <w:rPr>
          <w:sz w:val="24"/>
          <w:szCs w:val="24"/>
        </w:rPr>
        <w:t xml:space="preserve"> państwa członkowskie Rad</w:t>
      </w:r>
      <w:r>
        <w:rPr>
          <w:sz w:val="24"/>
          <w:szCs w:val="24"/>
        </w:rPr>
        <w:t>y</w:t>
      </w:r>
      <w:r w:rsidRPr="00A42E41">
        <w:rPr>
          <w:sz w:val="24"/>
          <w:szCs w:val="24"/>
        </w:rPr>
        <w:t xml:space="preserve"> Europy </w:t>
      </w:r>
      <w:r>
        <w:rPr>
          <w:sz w:val="24"/>
          <w:szCs w:val="24"/>
        </w:rPr>
        <w:t>po</w:t>
      </w:r>
      <w:r w:rsidRPr="00A42E41">
        <w:rPr>
          <w:sz w:val="24"/>
          <w:szCs w:val="24"/>
        </w:rPr>
        <w:t>dzieli</w:t>
      </w:r>
      <w:r>
        <w:rPr>
          <w:sz w:val="24"/>
          <w:szCs w:val="24"/>
        </w:rPr>
        <w:t>ły</w:t>
      </w:r>
      <w:r w:rsidRPr="00A42E41">
        <w:rPr>
          <w:sz w:val="24"/>
          <w:szCs w:val="24"/>
        </w:rPr>
        <w:t xml:space="preserve"> się między sobą najlepszymi praktykami w zakresie opracowywania i przeglądu Krajowych Planów Działania, w tym rozwoju i przeglądu Krajowych Planów Działania, z myślą o ich zamieszczeniu we wspólnym systemie informatycznym. Powyższy system mógłby na przykład być prowadzony na stronie internetowej CDDH-CORP, której administratorem jest Departament</w:t>
      </w:r>
      <w:r>
        <w:rPr>
          <w:sz w:val="24"/>
          <w:szCs w:val="24"/>
        </w:rPr>
        <w:t xml:space="preserve"> </w:t>
      </w:r>
      <w:r w:rsidRPr="00A42E41">
        <w:rPr>
          <w:sz w:val="24"/>
          <w:szCs w:val="24"/>
        </w:rPr>
        <w:t xml:space="preserve">ds. </w:t>
      </w:r>
      <w:r>
        <w:rPr>
          <w:sz w:val="24"/>
          <w:szCs w:val="24"/>
        </w:rPr>
        <w:t>P</w:t>
      </w:r>
      <w:r w:rsidRPr="00A42E41">
        <w:rPr>
          <w:sz w:val="24"/>
          <w:szCs w:val="24"/>
        </w:rPr>
        <w:t xml:space="preserve">olityki w zakresie </w:t>
      </w:r>
      <w:r>
        <w:rPr>
          <w:sz w:val="24"/>
          <w:szCs w:val="24"/>
        </w:rPr>
        <w:t>P</w:t>
      </w:r>
      <w:r w:rsidRPr="00A42E41">
        <w:rPr>
          <w:sz w:val="24"/>
          <w:szCs w:val="24"/>
        </w:rPr>
        <w:t xml:space="preserve">raw </w:t>
      </w:r>
      <w:r>
        <w:rPr>
          <w:sz w:val="24"/>
          <w:szCs w:val="24"/>
        </w:rPr>
        <w:t>C</w:t>
      </w:r>
      <w:r w:rsidRPr="00A42E41">
        <w:rPr>
          <w:sz w:val="24"/>
          <w:szCs w:val="24"/>
        </w:rPr>
        <w:t xml:space="preserve">złowieka i </w:t>
      </w:r>
      <w:r w:rsidRPr="001B7BBF">
        <w:rPr>
          <w:sz w:val="24"/>
          <w:szCs w:val="24"/>
        </w:rPr>
        <w:t>Współpracy wchodzący w skład</w:t>
      </w:r>
      <w:r w:rsidRPr="00A42E41">
        <w:rPr>
          <w:sz w:val="24"/>
          <w:szCs w:val="24"/>
        </w:rPr>
        <w:t xml:space="preserve"> Dyrekcji Generalnej ds. </w:t>
      </w:r>
      <w:r>
        <w:rPr>
          <w:sz w:val="24"/>
          <w:szCs w:val="24"/>
        </w:rPr>
        <w:t>P</w:t>
      </w:r>
      <w:r w:rsidRPr="00A42E41">
        <w:rPr>
          <w:sz w:val="24"/>
          <w:szCs w:val="24"/>
        </w:rPr>
        <w:t xml:space="preserve">raw </w:t>
      </w:r>
      <w:r>
        <w:rPr>
          <w:sz w:val="24"/>
          <w:szCs w:val="24"/>
        </w:rPr>
        <w:t>C</w:t>
      </w:r>
      <w:r w:rsidRPr="00A42E41">
        <w:rPr>
          <w:sz w:val="24"/>
          <w:szCs w:val="24"/>
        </w:rPr>
        <w:t xml:space="preserve">złowieka i </w:t>
      </w:r>
      <w:r>
        <w:rPr>
          <w:sz w:val="24"/>
          <w:szCs w:val="24"/>
        </w:rPr>
        <w:t>P</w:t>
      </w:r>
      <w:r w:rsidRPr="00A42E41">
        <w:rPr>
          <w:sz w:val="24"/>
          <w:szCs w:val="24"/>
        </w:rPr>
        <w:t>raworządności Rad</w:t>
      </w:r>
      <w:r>
        <w:rPr>
          <w:sz w:val="24"/>
          <w:szCs w:val="24"/>
        </w:rPr>
        <w:t>y</w:t>
      </w:r>
      <w:r w:rsidRPr="00A42E41">
        <w:rPr>
          <w:sz w:val="24"/>
          <w:szCs w:val="24"/>
        </w:rPr>
        <w:t xml:space="preserve"> Europy. </w:t>
      </w:r>
      <w:r>
        <w:rPr>
          <w:sz w:val="24"/>
          <w:szCs w:val="24"/>
        </w:rPr>
        <w:t>Wymianę d</w:t>
      </w:r>
      <w:r w:rsidRPr="00A42E41">
        <w:rPr>
          <w:sz w:val="24"/>
          <w:szCs w:val="24"/>
        </w:rPr>
        <w:t>obr</w:t>
      </w:r>
      <w:r>
        <w:rPr>
          <w:sz w:val="24"/>
          <w:szCs w:val="24"/>
        </w:rPr>
        <w:t>ych</w:t>
      </w:r>
      <w:r w:rsidRPr="00A42E41">
        <w:rPr>
          <w:sz w:val="24"/>
          <w:szCs w:val="24"/>
        </w:rPr>
        <w:t xml:space="preserve"> praktyk </w:t>
      </w:r>
      <w:r>
        <w:rPr>
          <w:sz w:val="24"/>
          <w:szCs w:val="24"/>
        </w:rPr>
        <w:t>należy</w:t>
      </w:r>
      <w:r w:rsidRPr="00A42E41">
        <w:rPr>
          <w:sz w:val="24"/>
          <w:szCs w:val="24"/>
        </w:rPr>
        <w:t xml:space="preserve"> również </w:t>
      </w:r>
      <w:r>
        <w:rPr>
          <w:sz w:val="24"/>
          <w:szCs w:val="24"/>
        </w:rPr>
        <w:t>prowadzić</w:t>
      </w:r>
      <w:r w:rsidRPr="00A42E41">
        <w:rPr>
          <w:sz w:val="24"/>
          <w:szCs w:val="24"/>
        </w:rPr>
        <w:t xml:space="preserve"> z państwami trzecimi i zainteresowanymi stronami. Te ostatnie powinny być zaangażowane na wszystkich etapach procedury Krajowych Planów Działania, w tym</w:t>
      </w:r>
      <w:r>
        <w:rPr>
          <w:sz w:val="24"/>
          <w:szCs w:val="24"/>
        </w:rPr>
        <w:t xml:space="preserve"> w fazie</w:t>
      </w:r>
      <w:r w:rsidRPr="00A42E41">
        <w:rPr>
          <w:sz w:val="24"/>
          <w:szCs w:val="24"/>
        </w:rPr>
        <w:t xml:space="preserve"> ich opracowywania i monitorowania, a także okresowej oceny i aktualizacji. Sugeruje się również, </w:t>
      </w:r>
      <w:r>
        <w:rPr>
          <w:sz w:val="24"/>
          <w:szCs w:val="24"/>
        </w:rPr>
        <w:t>aby</w:t>
      </w:r>
      <w:r w:rsidRPr="00A42E41">
        <w:rPr>
          <w:sz w:val="24"/>
          <w:szCs w:val="24"/>
        </w:rPr>
        <w:t xml:space="preserve"> Krajowe Plany Działania zawiera</w:t>
      </w:r>
      <w:r>
        <w:rPr>
          <w:sz w:val="24"/>
          <w:szCs w:val="24"/>
        </w:rPr>
        <w:t>ły</w:t>
      </w:r>
      <w:r w:rsidRPr="00A42E41">
        <w:rPr>
          <w:sz w:val="24"/>
          <w:szCs w:val="24"/>
        </w:rPr>
        <w:t xml:space="preserve"> dokładne informacje na temat ich procesu monitorowania i określ</w:t>
      </w:r>
      <w:r>
        <w:rPr>
          <w:sz w:val="24"/>
          <w:szCs w:val="24"/>
        </w:rPr>
        <w:t>ały</w:t>
      </w:r>
      <w:r w:rsidRPr="00A42E41">
        <w:rPr>
          <w:sz w:val="24"/>
          <w:szCs w:val="24"/>
        </w:rPr>
        <w:t>, która rządową instytucja będzie za to odpowiedzialna. W odniesieniu do treści Krajowych Planów Działania zaleca się, aby uwzględniały</w:t>
      </w:r>
      <w:r>
        <w:rPr>
          <w:sz w:val="24"/>
          <w:szCs w:val="24"/>
        </w:rPr>
        <w:t xml:space="preserve"> one</w:t>
      </w:r>
      <w:r w:rsidRPr="00A42E41">
        <w:rPr>
          <w:sz w:val="24"/>
          <w:szCs w:val="24"/>
        </w:rPr>
        <w:t xml:space="preserve"> wszystkie trzy filary Wytycznych ONZ, jak również działania regulacyjne i praktyczne podjęte w przeszłości i planowane w przyszłości przez rządy. Na zakończenie</w:t>
      </w:r>
      <w:r>
        <w:rPr>
          <w:sz w:val="24"/>
          <w:szCs w:val="24"/>
        </w:rPr>
        <w:t xml:space="preserve"> warto dodać, że</w:t>
      </w:r>
      <w:r w:rsidRPr="00A42E41">
        <w:rPr>
          <w:sz w:val="24"/>
          <w:szCs w:val="24"/>
        </w:rPr>
        <w:t xml:space="preserve"> rządy, które </w:t>
      </w:r>
      <w:r>
        <w:rPr>
          <w:sz w:val="24"/>
          <w:szCs w:val="24"/>
        </w:rPr>
        <w:t>pragną</w:t>
      </w:r>
      <w:r w:rsidRPr="00A42E41">
        <w:rPr>
          <w:sz w:val="24"/>
          <w:szCs w:val="24"/>
        </w:rPr>
        <w:t xml:space="preserve"> zapoznać się z ostatnimi osiągnieciami w zakresie Krajowych Planów Działania</w:t>
      </w:r>
      <w:r>
        <w:rPr>
          <w:sz w:val="24"/>
          <w:szCs w:val="24"/>
        </w:rPr>
        <w:t>,</w:t>
      </w:r>
      <w:r w:rsidRPr="00A42E41">
        <w:rPr>
          <w:sz w:val="24"/>
          <w:szCs w:val="24"/>
        </w:rPr>
        <w:t xml:space="preserve"> mogą </w:t>
      </w:r>
      <w:r>
        <w:rPr>
          <w:sz w:val="24"/>
          <w:szCs w:val="24"/>
        </w:rPr>
        <w:t>skorzystać ze</w:t>
      </w:r>
      <w:r w:rsidRPr="00A42E41">
        <w:rPr>
          <w:sz w:val="24"/>
          <w:szCs w:val="24"/>
        </w:rPr>
        <w:t xml:space="preserve"> stron</w:t>
      </w:r>
      <w:r>
        <w:rPr>
          <w:sz w:val="24"/>
          <w:szCs w:val="24"/>
        </w:rPr>
        <w:t>y</w:t>
      </w:r>
      <w:r w:rsidRPr="00A42E41">
        <w:rPr>
          <w:sz w:val="24"/>
          <w:szCs w:val="24"/>
        </w:rPr>
        <w:t xml:space="preserve"> internetow</w:t>
      </w:r>
      <w:r>
        <w:rPr>
          <w:sz w:val="24"/>
          <w:szCs w:val="24"/>
        </w:rPr>
        <w:t>ej „</w:t>
      </w:r>
      <w:r w:rsidRPr="00A42E41">
        <w:rPr>
          <w:sz w:val="24"/>
          <w:szCs w:val="24"/>
        </w:rPr>
        <w:t>Business</w:t>
      </w:r>
      <w:r>
        <w:rPr>
          <w:sz w:val="24"/>
          <w:szCs w:val="24"/>
        </w:rPr>
        <w:t xml:space="preserve"> &amp; Human </w:t>
      </w:r>
      <w:proofErr w:type="spellStart"/>
      <w:r>
        <w:rPr>
          <w:sz w:val="24"/>
          <w:szCs w:val="24"/>
        </w:rPr>
        <w:t>Rights</w:t>
      </w:r>
      <w:proofErr w:type="spellEnd"/>
      <w:r>
        <w:rPr>
          <w:sz w:val="24"/>
          <w:szCs w:val="24"/>
        </w:rPr>
        <w:t xml:space="preserve"> Resource Centre”.</w:t>
      </w:r>
      <w:r w:rsidRPr="00A42E41">
        <w:rPr>
          <w:rStyle w:val="Odwoanieprzypisukocowego"/>
          <w:sz w:val="24"/>
          <w:szCs w:val="24"/>
        </w:rPr>
        <w:endnoteReference w:id="4"/>
      </w:r>
    </w:p>
    <w:p w:rsidR="00A52948" w:rsidRPr="00A42E41" w:rsidRDefault="00A52948" w:rsidP="00E7396B">
      <w:pPr>
        <w:pStyle w:val="Akapitzlist"/>
        <w:spacing w:before="120" w:after="120" w:line="240" w:lineRule="auto"/>
        <w:ind w:left="1080"/>
        <w:contextualSpacing w:val="0"/>
        <w:jc w:val="both"/>
        <w:rPr>
          <w:sz w:val="24"/>
          <w:szCs w:val="24"/>
        </w:rPr>
      </w:pPr>
    </w:p>
    <w:p w:rsidR="00591EC1" w:rsidRDefault="00591EC1" w:rsidP="00E7396B">
      <w:pPr>
        <w:pStyle w:val="Akapitzlist"/>
        <w:numPr>
          <w:ilvl w:val="0"/>
          <w:numId w:val="31"/>
        </w:numPr>
        <w:spacing w:before="120" w:after="120" w:line="240" w:lineRule="auto"/>
        <w:contextualSpacing w:val="0"/>
        <w:jc w:val="both"/>
        <w:rPr>
          <w:b/>
          <w:sz w:val="24"/>
          <w:szCs w:val="24"/>
        </w:rPr>
      </w:pPr>
      <w:r w:rsidRPr="00A42E41">
        <w:rPr>
          <w:b/>
          <w:sz w:val="24"/>
          <w:szCs w:val="24"/>
        </w:rPr>
        <w:t>Obowiązek państwa ochrony praw człowieka</w:t>
      </w:r>
    </w:p>
    <w:p w:rsidR="00277B72" w:rsidRPr="00A42E41" w:rsidRDefault="00277B72" w:rsidP="00277B72">
      <w:pPr>
        <w:pStyle w:val="Akapitzlist"/>
        <w:spacing w:before="120" w:after="120" w:line="240" w:lineRule="auto"/>
        <w:ind w:left="567"/>
        <w:contextualSpacing w:val="0"/>
        <w:jc w:val="both"/>
        <w:rPr>
          <w:b/>
          <w:sz w:val="24"/>
          <w:szCs w:val="24"/>
        </w:rPr>
      </w:pPr>
    </w:p>
    <w:p w:rsidR="00591EC1" w:rsidRPr="00A42E41" w:rsidRDefault="00591EC1" w:rsidP="00E7396B">
      <w:pPr>
        <w:pStyle w:val="Akapitzlist"/>
        <w:numPr>
          <w:ilvl w:val="0"/>
          <w:numId w:val="19"/>
        </w:numPr>
        <w:spacing w:before="120" w:after="120" w:line="240" w:lineRule="auto"/>
        <w:ind w:left="567"/>
        <w:contextualSpacing w:val="0"/>
        <w:jc w:val="both"/>
        <w:rPr>
          <w:sz w:val="24"/>
          <w:szCs w:val="24"/>
        </w:rPr>
      </w:pPr>
      <w:r w:rsidRPr="00CF1FB3">
        <w:rPr>
          <w:sz w:val="24"/>
          <w:szCs w:val="24"/>
          <w:u w:val="single"/>
        </w:rPr>
        <w:t>Paragraf 13 Rekomendacji</w:t>
      </w:r>
      <w:r w:rsidRPr="00A42E41">
        <w:rPr>
          <w:sz w:val="24"/>
          <w:szCs w:val="24"/>
        </w:rPr>
        <w:t xml:space="preserve"> wskazuje, że państwa członkowskie powinny stosować takie środki, jakie mogą być konieczne, aby wymagać od przedsiębiorstw wypełni</w:t>
      </w:r>
      <w:r>
        <w:rPr>
          <w:sz w:val="24"/>
          <w:szCs w:val="24"/>
        </w:rPr>
        <w:t>a</w:t>
      </w:r>
      <w:r w:rsidRPr="00A42E41">
        <w:rPr>
          <w:sz w:val="24"/>
          <w:szCs w:val="24"/>
        </w:rPr>
        <w:t>nia ich zobowiązań w zakresie przestrzegania praw człowieka. Dotyczy to przedsiębiorstw, które działają w ramach państw członkowskich Rady Europy niezależnie od tego, czy mają siedzibę w Europ</w:t>
      </w:r>
      <w:r>
        <w:rPr>
          <w:sz w:val="24"/>
          <w:szCs w:val="24"/>
        </w:rPr>
        <w:t>ie czy poza nią</w:t>
      </w:r>
      <w:r w:rsidRPr="00A42E41">
        <w:rPr>
          <w:sz w:val="24"/>
          <w:szCs w:val="24"/>
        </w:rPr>
        <w:t xml:space="preserve"> (</w:t>
      </w:r>
      <w:r w:rsidRPr="00CF1FB3">
        <w:rPr>
          <w:sz w:val="24"/>
          <w:szCs w:val="24"/>
          <w:u w:val="single"/>
        </w:rPr>
        <w:t>paragraf 13 punkt pierwszy Rekomendacji</w:t>
      </w:r>
      <w:r w:rsidRPr="00A42E41">
        <w:rPr>
          <w:sz w:val="24"/>
          <w:szCs w:val="24"/>
        </w:rPr>
        <w:t>). Ponadto jeśli przedsiębiorstwa mające siedzibę w państwach członkowskich Rady Europy działają poza Europą, państwa członkowskie powinny zastosować takie środki, jakie mogą być konieczne, aby w stosownych przypadkach</w:t>
      </w:r>
      <w:r>
        <w:rPr>
          <w:sz w:val="24"/>
          <w:szCs w:val="24"/>
        </w:rPr>
        <w:t xml:space="preserve"> wymóc</w:t>
      </w:r>
      <w:r w:rsidRPr="00A42E41">
        <w:rPr>
          <w:sz w:val="24"/>
          <w:szCs w:val="24"/>
        </w:rPr>
        <w:t xml:space="preserve"> na przedsiębiorstwach wypełni</w:t>
      </w:r>
      <w:r>
        <w:rPr>
          <w:sz w:val="24"/>
          <w:szCs w:val="24"/>
        </w:rPr>
        <w:t>a</w:t>
      </w:r>
      <w:r w:rsidRPr="00A42E41">
        <w:rPr>
          <w:sz w:val="24"/>
          <w:szCs w:val="24"/>
        </w:rPr>
        <w:t>nie ich zobowiązań w zakresie przestrzegania praw człowieka w całej ich działalności zagranicznej (</w:t>
      </w:r>
      <w:r w:rsidRPr="00A42E41">
        <w:rPr>
          <w:sz w:val="24"/>
          <w:szCs w:val="24"/>
          <w:u w:val="single"/>
        </w:rPr>
        <w:t>paragraf 13</w:t>
      </w:r>
      <w:r>
        <w:rPr>
          <w:sz w:val="24"/>
          <w:szCs w:val="24"/>
          <w:u w:val="single"/>
        </w:rPr>
        <w:t xml:space="preserve"> punkt drugi</w:t>
      </w:r>
      <w:r w:rsidRPr="00A42E41">
        <w:rPr>
          <w:sz w:val="24"/>
          <w:szCs w:val="24"/>
          <w:u w:val="single"/>
        </w:rPr>
        <w:t xml:space="preserve"> Rekomendacji</w:t>
      </w:r>
      <w:r w:rsidRPr="00A42E41">
        <w:rPr>
          <w:sz w:val="24"/>
          <w:szCs w:val="24"/>
        </w:rPr>
        <w:t xml:space="preserve">). Trzeci punkt </w:t>
      </w:r>
      <w:r>
        <w:rPr>
          <w:sz w:val="24"/>
          <w:szCs w:val="24"/>
        </w:rPr>
        <w:t>omawianego</w:t>
      </w:r>
      <w:r w:rsidRPr="00A42E41">
        <w:rPr>
          <w:sz w:val="24"/>
          <w:szCs w:val="24"/>
        </w:rPr>
        <w:t xml:space="preserve"> paragrafu Rekomendacji odnosi się do innych środków mających na celu zachęcanie i wspieranie przedsiębiorstw do przestrzegania praw człowieka w całej ich działalności. Takimi środkami mogą być na przykład działania zachęcające (zamiast normatywnych lub obligatoryjnych).</w:t>
      </w:r>
    </w:p>
    <w:p w:rsidR="00591EC1" w:rsidRPr="00A42E41" w:rsidRDefault="00591EC1" w:rsidP="00E7396B">
      <w:pPr>
        <w:pStyle w:val="Akapitzlist"/>
        <w:spacing w:before="120" w:after="120" w:line="240" w:lineRule="auto"/>
        <w:ind w:left="1080"/>
        <w:contextualSpacing w:val="0"/>
        <w:jc w:val="both"/>
        <w:rPr>
          <w:sz w:val="24"/>
          <w:szCs w:val="24"/>
        </w:rPr>
      </w:pPr>
    </w:p>
    <w:p w:rsidR="00591EC1" w:rsidRPr="00FE4290" w:rsidRDefault="00591EC1" w:rsidP="00E7396B">
      <w:pPr>
        <w:pStyle w:val="Akapitzlist"/>
        <w:spacing w:before="120" w:after="120" w:line="240" w:lineRule="auto"/>
        <w:ind w:left="567"/>
        <w:contextualSpacing w:val="0"/>
        <w:jc w:val="both"/>
        <w:rPr>
          <w:i/>
          <w:sz w:val="24"/>
          <w:szCs w:val="24"/>
        </w:rPr>
      </w:pPr>
      <w:r w:rsidRPr="00FE4290">
        <w:rPr>
          <w:i/>
          <w:sz w:val="24"/>
          <w:szCs w:val="24"/>
        </w:rPr>
        <w:t>Dostęp do informacji</w:t>
      </w:r>
    </w:p>
    <w:p w:rsidR="00591EC1" w:rsidRPr="00A42E41" w:rsidRDefault="00591EC1" w:rsidP="00E7396B">
      <w:pPr>
        <w:pStyle w:val="Akapitzlist"/>
        <w:numPr>
          <w:ilvl w:val="0"/>
          <w:numId w:val="19"/>
        </w:numPr>
        <w:spacing w:before="120" w:after="120" w:line="240" w:lineRule="auto"/>
        <w:ind w:left="567"/>
        <w:contextualSpacing w:val="0"/>
        <w:jc w:val="both"/>
        <w:rPr>
          <w:sz w:val="24"/>
          <w:szCs w:val="24"/>
        </w:rPr>
      </w:pPr>
      <w:r w:rsidRPr="00A42E41">
        <w:rPr>
          <w:sz w:val="24"/>
          <w:szCs w:val="24"/>
          <w:u w:val="single"/>
        </w:rPr>
        <w:t>Paragraf 14 Rekomendacji</w:t>
      </w:r>
      <w:r w:rsidRPr="00A42E41">
        <w:rPr>
          <w:sz w:val="24"/>
          <w:szCs w:val="24"/>
        </w:rPr>
        <w:t xml:space="preserve"> zachęca państwa członko</w:t>
      </w:r>
      <w:r>
        <w:rPr>
          <w:sz w:val="24"/>
          <w:szCs w:val="24"/>
        </w:rPr>
        <w:t>wskie do zapewnienia, aby każdy „w ramach ich jurysdykcji”</w:t>
      </w:r>
      <w:r w:rsidRPr="00A42E41">
        <w:rPr>
          <w:sz w:val="24"/>
          <w:szCs w:val="24"/>
        </w:rPr>
        <w:t xml:space="preserve"> m</w:t>
      </w:r>
      <w:r>
        <w:rPr>
          <w:sz w:val="24"/>
          <w:szCs w:val="24"/>
        </w:rPr>
        <w:t>iał swobodny</w:t>
      </w:r>
      <w:r w:rsidRPr="00A42E41">
        <w:rPr>
          <w:sz w:val="24"/>
          <w:szCs w:val="24"/>
        </w:rPr>
        <w:t xml:space="preserve"> dostęp do informacji na temat istniejących praw człowieka w kontekście społecznej odpowiedzialności biznesu. </w:t>
      </w:r>
      <w:r>
        <w:rPr>
          <w:sz w:val="24"/>
          <w:szCs w:val="24"/>
        </w:rPr>
        <w:t>Z</w:t>
      </w:r>
      <w:r w:rsidRPr="00A42E41">
        <w:rPr>
          <w:sz w:val="24"/>
          <w:szCs w:val="24"/>
        </w:rPr>
        <w:t>asad</w:t>
      </w:r>
      <w:r>
        <w:rPr>
          <w:sz w:val="24"/>
          <w:szCs w:val="24"/>
        </w:rPr>
        <w:t>a ta wynika stąd</w:t>
      </w:r>
      <w:r w:rsidRPr="00A42E41">
        <w:rPr>
          <w:sz w:val="24"/>
          <w:szCs w:val="24"/>
        </w:rPr>
        <w:t xml:space="preserve">, że osoby nie mogą dochodzić swoich praw, jeśli </w:t>
      </w:r>
      <w:r w:rsidRPr="0094719F">
        <w:rPr>
          <w:sz w:val="24"/>
          <w:szCs w:val="24"/>
        </w:rPr>
        <w:t xml:space="preserve">o nich </w:t>
      </w:r>
      <w:r w:rsidRPr="00A42E41">
        <w:rPr>
          <w:sz w:val="24"/>
          <w:szCs w:val="24"/>
        </w:rPr>
        <w:t>nie wiedzą. Stanowi ona, że ofiary naruszenia praw człowieka w biznesie</w:t>
      </w:r>
      <w:r>
        <w:rPr>
          <w:sz w:val="24"/>
          <w:szCs w:val="24"/>
        </w:rPr>
        <w:t xml:space="preserve"> powinny</w:t>
      </w:r>
      <w:r w:rsidRPr="00A42E41">
        <w:rPr>
          <w:sz w:val="24"/>
          <w:szCs w:val="24"/>
        </w:rPr>
        <w:t xml:space="preserve"> m</w:t>
      </w:r>
      <w:r>
        <w:rPr>
          <w:sz w:val="24"/>
          <w:szCs w:val="24"/>
        </w:rPr>
        <w:t>ieć</w:t>
      </w:r>
      <w:r w:rsidRPr="00A42E41">
        <w:rPr>
          <w:sz w:val="24"/>
          <w:szCs w:val="24"/>
        </w:rPr>
        <w:t xml:space="preserve"> dostęp do informacji nt. odpowiednich postępowań sądowych i administracyjnych w języku dla nich zrozumiałym. Wyrażenie „w języku dla nich zrozumiałym</w:t>
      </w:r>
      <w:r>
        <w:rPr>
          <w:sz w:val="24"/>
          <w:szCs w:val="24"/>
        </w:rPr>
        <w:t>”</w:t>
      </w:r>
      <w:r w:rsidRPr="00A42E41">
        <w:rPr>
          <w:sz w:val="24"/>
          <w:szCs w:val="24"/>
        </w:rPr>
        <w:t xml:space="preserve"> jest </w:t>
      </w:r>
      <w:r>
        <w:rPr>
          <w:sz w:val="24"/>
          <w:szCs w:val="24"/>
        </w:rPr>
        <w:t>sformułowaniem</w:t>
      </w:r>
      <w:r w:rsidRPr="00A42E41">
        <w:rPr>
          <w:sz w:val="24"/>
          <w:szCs w:val="24"/>
        </w:rPr>
        <w:t xml:space="preserve"> powszechnie stosowanym w traktatach Rady Europy, które rozumiane</w:t>
      </w:r>
      <w:r>
        <w:rPr>
          <w:sz w:val="24"/>
          <w:szCs w:val="24"/>
        </w:rPr>
        <w:t xml:space="preserve"> jest nie jako</w:t>
      </w:r>
      <w:r w:rsidRPr="00A42E41">
        <w:rPr>
          <w:sz w:val="24"/>
          <w:szCs w:val="24"/>
        </w:rPr>
        <w:t xml:space="preserve"> wym</w:t>
      </w:r>
      <w:r>
        <w:rPr>
          <w:sz w:val="24"/>
          <w:szCs w:val="24"/>
        </w:rPr>
        <w:t>ó</w:t>
      </w:r>
      <w:r w:rsidRPr="00A42E41">
        <w:rPr>
          <w:sz w:val="24"/>
          <w:szCs w:val="24"/>
        </w:rPr>
        <w:t>g każdego mo</w:t>
      </w:r>
      <w:r>
        <w:rPr>
          <w:sz w:val="24"/>
          <w:szCs w:val="24"/>
        </w:rPr>
        <w:t>żliwego języka, lecz raczej jako wymóg „</w:t>
      </w:r>
      <w:r w:rsidRPr="00A42E41">
        <w:rPr>
          <w:sz w:val="24"/>
          <w:szCs w:val="24"/>
        </w:rPr>
        <w:t xml:space="preserve">języka najczęściej używanego w </w:t>
      </w:r>
      <w:r>
        <w:rPr>
          <w:sz w:val="24"/>
          <w:szCs w:val="24"/>
        </w:rPr>
        <w:t>danym kraju” (zob. na przykład</w:t>
      </w:r>
      <w:r w:rsidRPr="00A42E41">
        <w:rPr>
          <w:sz w:val="24"/>
          <w:szCs w:val="24"/>
        </w:rPr>
        <w:t xml:space="preserve"> paragraf 229 </w:t>
      </w:r>
      <w:r>
        <w:rPr>
          <w:sz w:val="24"/>
          <w:szCs w:val="24"/>
        </w:rPr>
        <w:t>R</w:t>
      </w:r>
      <w:r w:rsidRPr="00A42E41">
        <w:rPr>
          <w:sz w:val="24"/>
          <w:szCs w:val="24"/>
        </w:rPr>
        <w:t xml:space="preserve">aportu wyjaśniającego do </w:t>
      </w:r>
      <w:r>
        <w:rPr>
          <w:sz w:val="24"/>
          <w:szCs w:val="24"/>
        </w:rPr>
        <w:t>K</w:t>
      </w:r>
      <w:r w:rsidRPr="00A42E41">
        <w:rPr>
          <w:sz w:val="24"/>
          <w:szCs w:val="24"/>
        </w:rPr>
        <w:t>onwencji Rady Europy o ochronie dzieci przed seksualnym wykorzystywaniem i niegodziwym traktowaniem w celach seksualnych).</w:t>
      </w:r>
    </w:p>
    <w:p w:rsidR="00591EC1" w:rsidRPr="00A42E41" w:rsidRDefault="00591EC1" w:rsidP="00E7396B">
      <w:pPr>
        <w:pStyle w:val="Akapitzlist"/>
        <w:spacing w:before="120" w:after="120" w:line="240" w:lineRule="auto"/>
        <w:ind w:left="1080"/>
        <w:contextualSpacing w:val="0"/>
        <w:jc w:val="both"/>
        <w:rPr>
          <w:sz w:val="24"/>
          <w:szCs w:val="24"/>
        </w:rPr>
      </w:pPr>
    </w:p>
    <w:p w:rsidR="00591EC1" w:rsidRPr="00A42E41" w:rsidRDefault="00591EC1" w:rsidP="00E7396B">
      <w:pPr>
        <w:pStyle w:val="Akapitzlist"/>
        <w:spacing w:before="120" w:after="120" w:line="240" w:lineRule="auto"/>
        <w:ind w:left="567"/>
        <w:contextualSpacing w:val="0"/>
        <w:jc w:val="both"/>
        <w:rPr>
          <w:i/>
          <w:sz w:val="24"/>
          <w:szCs w:val="24"/>
        </w:rPr>
      </w:pPr>
      <w:r w:rsidRPr="00A42E41">
        <w:rPr>
          <w:i/>
          <w:sz w:val="24"/>
          <w:szCs w:val="24"/>
        </w:rPr>
        <w:t>Zobowiązania wynikające z Konwencji o ochronie praw człowieka i podstawowych wolności i innych traktatów w zakresie praw człowieka</w:t>
      </w:r>
    </w:p>
    <w:p w:rsidR="00591EC1" w:rsidRPr="00A42E41" w:rsidRDefault="00591EC1" w:rsidP="00E7396B">
      <w:pPr>
        <w:pStyle w:val="Akapitzlist"/>
        <w:numPr>
          <w:ilvl w:val="0"/>
          <w:numId w:val="19"/>
        </w:numPr>
        <w:spacing w:before="120" w:after="120" w:line="240" w:lineRule="auto"/>
        <w:ind w:left="567"/>
        <w:contextualSpacing w:val="0"/>
        <w:jc w:val="both"/>
        <w:rPr>
          <w:sz w:val="24"/>
          <w:szCs w:val="24"/>
        </w:rPr>
      </w:pPr>
      <w:r w:rsidRPr="00A42E41">
        <w:rPr>
          <w:sz w:val="24"/>
          <w:szCs w:val="24"/>
        </w:rPr>
        <w:t>Zasada Podstawowa</w:t>
      </w:r>
      <w:r>
        <w:rPr>
          <w:sz w:val="24"/>
          <w:szCs w:val="24"/>
        </w:rPr>
        <w:t xml:space="preserve"> </w:t>
      </w:r>
      <w:r w:rsidRPr="009C30CD">
        <w:rPr>
          <w:sz w:val="24"/>
          <w:szCs w:val="24"/>
        </w:rPr>
        <w:t>nr</w:t>
      </w:r>
      <w:r w:rsidRPr="00A42E41">
        <w:rPr>
          <w:sz w:val="24"/>
          <w:szCs w:val="24"/>
        </w:rPr>
        <w:t xml:space="preserve"> 1 Wytycznych ONZ stanowi</w:t>
      </w:r>
      <w:r>
        <w:rPr>
          <w:sz w:val="24"/>
          <w:szCs w:val="24"/>
        </w:rPr>
        <w:t>, że „</w:t>
      </w:r>
      <w:r w:rsidRPr="00A42E41">
        <w:rPr>
          <w:sz w:val="24"/>
          <w:szCs w:val="24"/>
        </w:rPr>
        <w:t>państwa mają obowiązek zapewnić ochronę przed naruszeniem praw człowieka przez strony trzecie, w tym przedsiębiorstwa, na swoim terytorium i/lub na obszarze objętym ich jurysdykcją. Wymaga to podejmowania odpowiednich kroków w celu zapobiegania takim naruszeniom, ich rozpoznawania, karania oraz zadośćuczynienia za nie, poprzez prowadzenie skutecznej polityki, działania ustawodawcze, regulacje i praktykę orzeczniczą</w:t>
      </w:r>
      <w:r>
        <w:rPr>
          <w:sz w:val="24"/>
          <w:szCs w:val="24"/>
        </w:rPr>
        <w:t>.” W</w:t>
      </w:r>
      <w:r w:rsidRPr="00A42E41">
        <w:rPr>
          <w:sz w:val="24"/>
          <w:szCs w:val="24"/>
        </w:rPr>
        <w:t xml:space="preserve"> </w:t>
      </w:r>
      <w:r w:rsidRPr="00CF1FB3">
        <w:rPr>
          <w:sz w:val="24"/>
          <w:szCs w:val="24"/>
          <w:u w:val="single"/>
        </w:rPr>
        <w:t>paragrafie 15 Rekomendacja</w:t>
      </w:r>
      <w:r w:rsidRPr="00A42E41">
        <w:rPr>
          <w:sz w:val="24"/>
          <w:szCs w:val="24"/>
        </w:rPr>
        <w:t xml:space="preserve"> transponuje tę zasadę do kontekstu EKPC, jako że takie zobowiązania </w:t>
      </w:r>
      <w:r>
        <w:rPr>
          <w:sz w:val="24"/>
          <w:szCs w:val="24"/>
        </w:rPr>
        <w:t>do</w:t>
      </w:r>
      <w:r w:rsidRPr="00A42E41">
        <w:rPr>
          <w:sz w:val="24"/>
          <w:szCs w:val="24"/>
        </w:rPr>
        <w:t xml:space="preserve"> ochrony zostały wypracowane przez Europejski Trybunał </w:t>
      </w:r>
      <w:r>
        <w:rPr>
          <w:sz w:val="24"/>
          <w:szCs w:val="24"/>
        </w:rPr>
        <w:t>Praw Człowieka jako „</w:t>
      </w:r>
      <w:r w:rsidRPr="00A42E41">
        <w:rPr>
          <w:sz w:val="24"/>
          <w:szCs w:val="24"/>
        </w:rPr>
        <w:t>zobowiązania pozytywne</w:t>
      </w:r>
      <w:r>
        <w:rPr>
          <w:sz w:val="24"/>
          <w:szCs w:val="24"/>
        </w:rPr>
        <w:t>”</w:t>
      </w:r>
      <w:r w:rsidRPr="00A42E41">
        <w:rPr>
          <w:sz w:val="24"/>
          <w:szCs w:val="24"/>
        </w:rPr>
        <w:t xml:space="preserve">. W ich zakres wchodzą wymagania ustanowienia stosownych przepisów prawa karnego, jak również </w:t>
      </w:r>
      <w:r w:rsidRPr="00A42E41">
        <w:rPr>
          <w:sz w:val="24"/>
          <w:szCs w:val="24"/>
        </w:rPr>
        <w:lastRenderedPageBreak/>
        <w:t>zapobiegania naruszeniom praw człowieka wobec osób podlegających ich jurysdykcji, w przypadku gdy właściwe władze wiedziały lub powinny były wiedzieć o rzeczywistym i bezpośrednim zagrożeniu wystąpienia takich naruszeń, w tym gdy takie zagrożenie zostało wywołane przez osoby fizyczne lub instytucje. Wymagania te zostały ustalone przez Trybunał na przykład w odniesieniu do art. 2 Konwencji (prawo do życia),</w:t>
      </w:r>
      <w:r w:rsidRPr="00A42E41">
        <w:rPr>
          <w:rStyle w:val="Odwoanieprzypisukocowego"/>
          <w:sz w:val="24"/>
          <w:szCs w:val="24"/>
        </w:rPr>
        <w:endnoteReference w:id="5"/>
      </w:r>
      <w:r w:rsidRPr="00A42E41">
        <w:rPr>
          <w:sz w:val="24"/>
          <w:szCs w:val="24"/>
        </w:rPr>
        <w:t xml:space="preserve"> art. 3 Konwencji (zakaz tortur i nieludzkiego lub poniżającego traktowania albo karania),</w:t>
      </w:r>
      <w:r w:rsidRPr="00A42E41">
        <w:rPr>
          <w:rStyle w:val="Odwoanieprzypisukocowego"/>
          <w:sz w:val="24"/>
          <w:szCs w:val="24"/>
        </w:rPr>
        <w:endnoteReference w:id="6"/>
      </w:r>
      <w:r>
        <w:rPr>
          <w:sz w:val="24"/>
          <w:szCs w:val="24"/>
        </w:rPr>
        <w:t xml:space="preserve"> </w:t>
      </w:r>
      <w:r w:rsidRPr="00A42E41">
        <w:rPr>
          <w:sz w:val="24"/>
          <w:szCs w:val="24"/>
        </w:rPr>
        <w:t>art.</w:t>
      </w:r>
      <w:r>
        <w:rPr>
          <w:sz w:val="24"/>
          <w:szCs w:val="24"/>
        </w:rPr>
        <w:t xml:space="preserve"> </w:t>
      </w:r>
      <w:r w:rsidRPr="00A42E41">
        <w:rPr>
          <w:sz w:val="24"/>
          <w:szCs w:val="24"/>
        </w:rPr>
        <w:t>4 Konwencji (zakaz niewolnictwa i pracy przymusowej)</w:t>
      </w:r>
      <w:r w:rsidRPr="00A42E41">
        <w:rPr>
          <w:rStyle w:val="Odwoanieprzypisukocowego"/>
          <w:sz w:val="24"/>
          <w:szCs w:val="24"/>
        </w:rPr>
        <w:endnoteReference w:id="7"/>
      </w:r>
      <w:r w:rsidRPr="00A42E41">
        <w:rPr>
          <w:sz w:val="24"/>
          <w:szCs w:val="24"/>
        </w:rPr>
        <w:t xml:space="preserve"> </w:t>
      </w:r>
      <w:r>
        <w:rPr>
          <w:sz w:val="24"/>
          <w:szCs w:val="24"/>
        </w:rPr>
        <w:t>czy</w:t>
      </w:r>
      <w:r w:rsidRPr="00A42E41">
        <w:rPr>
          <w:sz w:val="24"/>
          <w:szCs w:val="24"/>
        </w:rPr>
        <w:t xml:space="preserve"> art. 5 Konwencji (prawo do wolności i bezpieczeństwa).</w:t>
      </w:r>
      <w:r w:rsidRPr="00A42E41">
        <w:rPr>
          <w:rStyle w:val="Odwoanieprzypisukocowego"/>
          <w:sz w:val="24"/>
          <w:szCs w:val="24"/>
        </w:rPr>
        <w:endnoteReference w:id="8"/>
      </w:r>
      <w:r w:rsidRPr="00A42E41">
        <w:rPr>
          <w:sz w:val="24"/>
          <w:szCs w:val="24"/>
        </w:rPr>
        <w:t xml:space="preserve"> Zwłaszcza w kontekście art. 2 Konwencji Trybunał </w:t>
      </w:r>
      <w:r>
        <w:rPr>
          <w:sz w:val="24"/>
          <w:szCs w:val="24"/>
        </w:rPr>
        <w:t>rozpatrzył</w:t>
      </w:r>
      <w:r w:rsidRPr="00A42E41">
        <w:rPr>
          <w:sz w:val="24"/>
          <w:szCs w:val="24"/>
        </w:rPr>
        <w:t xml:space="preserve"> kilka przypadków, w których niebezpieczna działalność</w:t>
      </w:r>
      <w:r>
        <w:rPr>
          <w:sz w:val="24"/>
          <w:szCs w:val="24"/>
        </w:rPr>
        <w:t xml:space="preserve"> </w:t>
      </w:r>
      <w:r w:rsidRPr="00A42E41">
        <w:rPr>
          <w:sz w:val="24"/>
          <w:szCs w:val="24"/>
        </w:rPr>
        <w:t>prowadzona przez podmioty prywatne doprowadziła do śmierci ludzi, i stwierdził, że obowiązek ten należy interpretować jako mający zastosowanie w kontekście jakiejkolwiek działalności</w:t>
      </w:r>
      <w:r>
        <w:rPr>
          <w:sz w:val="24"/>
          <w:szCs w:val="24"/>
        </w:rPr>
        <w:t xml:space="preserve"> – </w:t>
      </w:r>
      <w:r w:rsidRPr="00A42E41">
        <w:rPr>
          <w:sz w:val="24"/>
          <w:szCs w:val="24"/>
        </w:rPr>
        <w:t>czy to publicznej, czy nie</w:t>
      </w:r>
      <w:r>
        <w:rPr>
          <w:sz w:val="24"/>
          <w:szCs w:val="24"/>
        </w:rPr>
        <w:t xml:space="preserve"> –</w:t>
      </w:r>
      <w:r w:rsidRPr="00A42E41">
        <w:rPr>
          <w:sz w:val="24"/>
          <w:szCs w:val="24"/>
        </w:rPr>
        <w:t xml:space="preserve"> podczas której prawo do życia może być zagrożone, a tym bardziej w przypadku działalności przemysłowej, która ze swej natury jest niebezpieczna, jak na przykład działalność</w:t>
      </w:r>
      <w:r>
        <w:rPr>
          <w:sz w:val="24"/>
          <w:szCs w:val="24"/>
        </w:rPr>
        <w:t xml:space="preserve"> </w:t>
      </w:r>
      <w:r w:rsidRPr="00A42E41">
        <w:rPr>
          <w:sz w:val="24"/>
          <w:szCs w:val="24"/>
        </w:rPr>
        <w:t>miejsc składowania odpadów.</w:t>
      </w:r>
      <w:r w:rsidRPr="00A42E41">
        <w:rPr>
          <w:rStyle w:val="Odwoanieprzypisukocowego"/>
          <w:sz w:val="24"/>
          <w:szCs w:val="24"/>
        </w:rPr>
        <w:endnoteReference w:id="9"/>
      </w:r>
      <w:r w:rsidRPr="00A42E41">
        <w:rPr>
          <w:sz w:val="24"/>
          <w:szCs w:val="24"/>
        </w:rPr>
        <w:t xml:space="preserve"> Trybunał stwierdził, że w specyficznym kontekście niebezpiecznej działalności szczególny nacisk należy położyć na przepisach dostosowanych do </w:t>
      </w:r>
      <w:r>
        <w:rPr>
          <w:sz w:val="24"/>
          <w:szCs w:val="24"/>
        </w:rPr>
        <w:t>szczególnej charakterystyki</w:t>
      </w:r>
      <w:r w:rsidRPr="00A42E41">
        <w:rPr>
          <w:sz w:val="24"/>
          <w:szCs w:val="24"/>
        </w:rPr>
        <w:t xml:space="preserve"> danej działalności, zwłaszcza w odniesieniu do poziomu potencjalnego zagrożenia dla życia ludzkiego.</w:t>
      </w:r>
      <w:r w:rsidRPr="00A42E41">
        <w:rPr>
          <w:rStyle w:val="Odwoanieprzypisukocowego"/>
          <w:sz w:val="24"/>
          <w:szCs w:val="24"/>
        </w:rPr>
        <w:endnoteReference w:id="10"/>
      </w:r>
      <w:r w:rsidRPr="00A42E41">
        <w:rPr>
          <w:sz w:val="24"/>
          <w:szCs w:val="24"/>
        </w:rPr>
        <w:t xml:space="preserve"> Jeśli chodzi o prawo do życia prywatnego i rodzinnego (art. 8 EKPC), Trybunał stwierdził </w:t>
      </w:r>
      <w:r>
        <w:rPr>
          <w:sz w:val="24"/>
          <w:szCs w:val="24"/>
        </w:rPr>
        <w:t>kilka</w:t>
      </w:r>
      <w:r w:rsidRPr="00A42E41">
        <w:rPr>
          <w:sz w:val="24"/>
          <w:szCs w:val="24"/>
        </w:rPr>
        <w:t>krotnie, że państwom nie udało się spełnić ich pozytywnego zobowiązania wynikającego z tego przepisu polegającego na ochronie jednostek przed skutkami działań ze strony prywatnych przedsiębiorstw zanieczyszczających środowisko.</w:t>
      </w:r>
      <w:r w:rsidRPr="00A42E41">
        <w:rPr>
          <w:rStyle w:val="Odwoanieprzypisukocowego"/>
          <w:sz w:val="24"/>
          <w:szCs w:val="24"/>
        </w:rPr>
        <w:endnoteReference w:id="11"/>
      </w:r>
      <w:r w:rsidRPr="00A42E41">
        <w:rPr>
          <w:sz w:val="24"/>
          <w:szCs w:val="24"/>
        </w:rPr>
        <w:t xml:space="preserve"> </w:t>
      </w:r>
    </w:p>
    <w:p w:rsidR="00591EC1" w:rsidRPr="00A42E41" w:rsidRDefault="00591EC1" w:rsidP="00E7396B">
      <w:pPr>
        <w:pStyle w:val="Akapitzlist"/>
        <w:numPr>
          <w:ilvl w:val="0"/>
          <w:numId w:val="19"/>
        </w:numPr>
        <w:spacing w:before="120" w:after="120" w:line="240" w:lineRule="auto"/>
        <w:ind w:left="567"/>
        <w:contextualSpacing w:val="0"/>
        <w:jc w:val="both"/>
        <w:rPr>
          <w:sz w:val="24"/>
          <w:szCs w:val="24"/>
        </w:rPr>
      </w:pPr>
      <w:r w:rsidRPr="00A42E41">
        <w:rPr>
          <w:sz w:val="24"/>
          <w:szCs w:val="24"/>
        </w:rPr>
        <w:t>Ponadto Europejski Trybunał Praw Człowieka stwierdził, że powyższe przepisy Konwencji zawierają</w:t>
      </w:r>
      <w:r>
        <w:rPr>
          <w:sz w:val="24"/>
          <w:szCs w:val="24"/>
        </w:rPr>
        <w:t xml:space="preserve"> „</w:t>
      </w:r>
      <w:r w:rsidRPr="00A42E41">
        <w:rPr>
          <w:sz w:val="24"/>
          <w:szCs w:val="24"/>
        </w:rPr>
        <w:t>obowiąz</w:t>
      </w:r>
      <w:r>
        <w:rPr>
          <w:sz w:val="24"/>
          <w:szCs w:val="24"/>
        </w:rPr>
        <w:t>ki proceduralne”</w:t>
      </w:r>
      <w:r w:rsidRPr="00A42E41">
        <w:rPr>
          <w:sz w:val="24"/>
          <w:szCs w:val="24"/>
        </w:rPr>
        <w:t>, które w przypadku naruszenia zobowiązują państwa do przeprowadzenia niezależnego</w:t>
      </w:r>
      <w:r>
        <w:rPr>
          <w:sz w:val="24"/>
          <w:szCs w:val="24"/>
        </w:rPr>
        <w:t>,</w:t>
      </w:r>
      <w:r w:rsidRPr="00A42E41">
        <w:rPr>
          <w:sz w:val="24"/>
          <w:szCs w:val="24"/>
        </w:rPr>
        <w:t xml:space="preserve"> bezstronnego, odpowiedniego, szybkiego i sprawnego oficjalnego </w:t>
      </w:r>
      <w:r>
        <w:rPr>
          <w:sz w:val="24"/>
          <w:szCs w:val="24"/>
        </w:rPr>
        <w:t>postępowania przygotowawczego</w:t>
      </w:r>
      <w:r w:rsidRPr="00A42E41">
        <w:rPr>
          <w:sz w:val="24"/>
          <w:szCs w:val="24"/>
        </w:rPr>
        <w:t>, w sytuacji gdy istnieje wiarygodne przypuszczenie, że doszło do naruszenia</w:t>
      </w:r>
      <w:r>
        <w:rPr>
          <w:sz w:val="24"/>
          <w:szCs w:val="24"/>
        </w:rPr>
        <w:t>,</w:t>
      </w:r>
      <w:r w:rsidRPr="00A42E41">
        <w:rPr>
          <w:sz w:val="24"/>
          <w:szCs w:val="24"/>
        </w:rPr>
        <w:t xml:space="preserve"> lub organy mają uzasadnione podstawy, aby podejrzewać, że miało ono miejsce.</w:t>
      </w:r>
      <w:r w:rsidRPr="00A42E41">
        <w:rPr>
          <w:rStyle w:val="Odwoanieprzypisukocowego"/>
          <w:sz w:val="24"/>
          <w:szCs w:val="24"/>
        </w:rPr>
        <w:endnoteReference w:id="12"/>
      </w:r>
      <w:r w:rsidRPr="00A42E41">
        <w:rPr>
          <w:sz w:val="24"/>
          <w:szCs w:val="24"/>
        </w:rPr>
        <w:t xml:space="preserve"> Władze muszą również podjąć wszelkie odpowiednie środki w celu ustanowienia dostępnych i skutecznych mechanizmów, które </w:t>
      </w:r>
      <w:r>
        <w:rPr>
          <w:sz w:val="24"/>
          <w:szCs w:val="24"/>
        </w:rPr>
        <w:t xml:space="preserve">będą nakazywały </w:t>
      </w:r>
      <w:r w:rsidRPr="00A42E41">
        <w:rPr>
          <w:sz w:val="24"/>
          <w:szCs w:val="24"/>
        </w:rPr>
        <w:t>szybk</w:t>
      </w:r>
      <w:r>
        <w:rPr>
          <w:sz w:val="24"/>
          <w:szCs w:val="24"/>
        </w:rPr>
        <w:t>ie</w:t>
      </w:r>
      <w:r w:rsidRPr="00A42E41">
        <w:rPr>
          <w:sz w:val="24"/>
          <w:szCs w:val="24"/>
        </w:rPr>
        <w:t xml:space="preserve"> i odpowiedni</w:t>
      </w:r>
      <w:r>
        <w:rPr>
          <w:sz w:val="24"/>
          <w:szCs w:val="24"/>
        </w:rPr>
        <w:t>e</w:t>
      </w:r>
      <w:r w:rsidRPr="00A42E41">
        <w:rPr>
          <w:sz w:val="24"/>
          <w:szCs w:val="24"/>
        </w:rPr>
        <w:t xml:space="preserve"> naprawieni</w:t>
      </w:r>
      <w:r>
        <w:rPr>
          <w:sz w:val="24"/>
          <w:szCs w:val="24"/>
        </w:rPr>
        <w:t>e</w:t>
      </w:r>
      <w:r w:rsidRPr="00A42E41">
        <w:rPr>
          <w:sz w:val="24"/>
          <w:szCs w:val="24"/>
        </w:rPr>
        <w:t xml:space="preserve"> szkody</w:t>
      </w:r>
      <w:r>
        <w:rPr>
          <w:sz w:val="24"/>
          <w:szCs w:val="24"/>
        </w:rPr>
        <w:t xml:space="preserve"> poniesionej przez ofiary takich naruszeń</w:t>
      </w:r>
      <w:r w:rsidRPr="00A42E41">
        <w:rPr>
          <w:sz w:val="24"/>
          <w:szCs w:val="24"/>
        </w:rPr>
        <w:t>.</w:t>
      </w:r>
      <w:r w:rsidRPr="00A42E41">
        <w:rPr>
          <w:rStyle w:val="Odwoanieprzypisukocowego"/>
          <w:sz w:val="24"/>
          <w:szCs w:val="24"/>
        </w:rPr>
        <w:endnoteReference w:id="13"/>
      </w:r>
      <w:r w:rsidRPr="00A42E41">
        <w:rPr>
          <w:sz w:val="24"/>
          <w:szCs w:val="24"/>
        </w:rPr>
        <w:t xml:space="preserve"> Należy zauważyć, że obowiązek zbadania</w:t>
      </w:r>
      <w:r>
        <w:rPr>
          <w:sz w:val="24"/>
          <w:szCs w:val="24"/>
        </w:rPr>
        <w:t>,</w:t>
      </w:r>
      <w:r w:rsidRPr="00A42E41">
        <w:rPr>
          <w:sz w:val="24"/>
          <w:szCs w:val="24"/>
        </w:rPr>
        <w:t xml:space="preserve"> czy doszło do naruszenia</w:t>
      </w:r>
      <w:r>
        <w:rPr>
          <w:sz w:val="24"/>
          <w:szCs w:val="24"/>
        </w:rPr>
        <w:t>,</w:t>
      </w:r>
      <w:r w:rsidRPr="00A42E41">
        <w:rPr>
          <w:sz w:val="24"/>
          <w:szCs w:val="24"/>
        </w:rPr>
        <w:t xml:space="preserve"> ma charakter absolutny.</w:t>
      </w:r>
    </w:p>
    <w:p w:rsidR="00591EC1" w:rsidRPr="00A42E41" w:rsidRDefault="00591EC1" w:rsidP="00E7396B">
      <w:pPr>
        <w:pStyle w:val="Akapitzlist"/>
        <w:spacing w:before="120" w:after="120" w:line="240" w:lineRule="auto"/>
        <w:ind w:left="1080"/>
        <w:contextualSpacing w:val="0"/>
        <w:jc w:val="both"/>
        <w:rPr>
          <w:sz w:val="24"/>
          <w:szCs w:val="24"/>
        </w:rPr>
      </w:pPr>
    </w:p>
    <w:p w:rsidR="00591EC1" w:rsidRPr="00A42E41" w:rsidRDefault="00591EC1" w:rsidP="00E7396B">
      <w:pPr>
        <w:pStyle w:val="Akapitzlist"/>
        <w:spacing w:before="120" w:after="120" w:line="240" w:lineRule="auto"/>
        <w:ind w:left="567"/>
        <w:contextualSpacing w:val="0"/>
        <w:jc w:val="both"/>
        <w:rPr>
          <w:i/>
          <w:sz w:val="24"/>
          <w:szCs w:val="24"/>
        </w:rPr>
      </w:pPr>
      <w:r w:rsidRPr="00A42E41">
        <w:rPr>
          <w:i/>
          <w:sz w:val="24"/>
          <w:szCs w:val="24"/>
        </w:rPr>
        <w:t>Zobowiązania wynikające z Europejskiej Karty Społecznej (zrewidowanej)</w:t>
      </w:r>
    </w:p>
    <w:p w:rsidR="00591EC1" w:rsidRPr="00A42E41" w:rsidRDefault="00591EC1" w:rsidP="00E7396B">
      <w:pPr>
        <w:pStyle w:val="Akapitzlist"/>
        <w:numPr>
          <w:ilvl w:val="0"/>
          <w:numId w:val="19"/>
        </w:numPr>
        <w:spacing w:before="120" w:after="120" w:line="240" w:lineRule="auto"/>
        <w:ind w:left="567"/>
        <w:contextualSpacing w:val="0"/>
        <w:jc w:val="both"/>
        <w:rPr>
          <w:sz w:val="24"/>
          <w:szCs w:val="24"/>
        </w:rPr>
      </w:pPr>
      <w:r w:rsidRPr="00A42E41">
        <w:rPr>
          <w:sz w:val="24"/>
          <w:szCs w:val="24"/>
          <w:u w:val="single"/>
        </w:rPr>
        <w:t>Paragraf 16 Rekomendacji</w:t>
      </w:r>
      <w:r w:rsidRPr="00A42E41">
        <w:rPr>
          <w:sz w:val="24"/>
          <w:szCs w:val="24"/>
        </w:rPr>
        <w:t xml:space="preserve"> </w:t>
      </w:r>
      <w:r>
        <w:rPr>
          <w:sz w:val="24"/>
          <w:szCs w:val="24"/>
        </w:rPr>
        <w:t xml:space="preserve">przypomina, że </w:t>
      </w:r>
      <w:r w:rsidRPr="00A42E41">
        <w:rPr>
          <w:sz w:val="24"/>
          <w:szCs w:val="24"/>
        </w:rPr>
        <w:t>Europejska Karta Społeczna (zrewidowana) jest kolejnym kluczowym instrumentem prawnym, który daje ochronę przed naruszeniami praw człowieka przez przedsiębiorstwa, w szczególności w odniesieniu do praw pracowników. Uzupełnia EKPC w odniesieniu do praw społecznych i gospodarczych. Europejska Karta Społeczna z 1996 r.</w:t>
      </w:r>
      <w:r>
        <w:rPr>
          <w:sz w:val="24"/>
          <w:szCs w:val="24"/>
        </w:rPr>
        <w:t xml:space="preserve"> </w:t>
      </w:r>
      <w:r w:rsidRPr="00A42E41">
        <w:rPr>
          <w:sz w:val="24"/>
          <w:szCs w:val="24"/>
        </w:rPr>
        <w:t xml:space="preserve">(zrewidowana) (ETS nr 163), która stopniowo zastąpiła Europejską Kartę Społeczną z 1961 r. (ETS </w:t>
      </w:r>
      <w:r>
        <w:rPr>
          <w:sz w:val="24"/>
          <w:szCs w:val="24"/>
        </w:rPr>
        <w:t>n</w:t>
      </w:r>
      <w:r w:rsidRPr="00A42E41">
        <w:rPr>
          <w:sz w:val="24"/>
          <w:szCs w:val="24"/>
        </w:rPr>
        <w:t>r 35)</w:t>
      </w:r>
      <w:r>
        <w:rPr>
          <w:sz w:val="24"/>
          <w:szCs w:val="24"/>
        </w:rPr>
        <w:t>,</w:t>
      </w:r>
      <w:r w:rsidRPr="00A42E41">
        <w:rPr>
          <w:sz w:val="24"/>
          <w:szCs w:val="24"/>
        </w:rPr>
        <w:t xml:space="preserve"> zawiera takie prawa jak na przykład prawo do pracy (art. 1); prawo do odpowiednich warunków pracy (art. 2); prawo do bezpiecznych i higienicznych warunków pracy (art. 3); prawo do sprawiedliwego wynagrodzenia, wystarczającego dla zapewnienia </w:t>
      </w:r>
      <w:r>
        <w:rPr>
          <w:sz w:val="24"/>
          <w:szCs w:val="24"/>
        </w:rPr>
        <w:t>godziwego</w:t>
      </w:r>
      <w:r w:rsidRPr="00A42E41">
        <w:rPr>
          <w:sz w:val="24"/>
          <w:szCs w:val="24"/>
        </w:rPr>
        <w:t xml:space="preserve"> poziomu życia (art. 4); prawo do zrzeszania się (art. 5); prawo do rokowań zbiorowych (art. 6); prawo dzieci i młodocianych do ochrony (art. 7); prawo do ochrony zdrowia (art. 11); prawo dzieci i młodocianych do ochrony społecznej, prawnej i ekonomicznej </w:t>
      </w:r>
      <w:r w:rsidRPr="00A42E41">
        <w:rPr>
          <w:sz w:val="24"/>
          <w:szCs w:val="24"/>
        </w:rPr>
        <w:lastRenderedPageBreak/>
        <w:t xml:space="preserve">(art. 17); prawo pracowników migrujących i ich rodzin do ochrony i pomocy (art. 19); prawo do równych szans i równego traktowania w zakresie zatrudnienia i wykonywania zawodu, bez dyskryminacji ze względu na płeć (art. 20); prawo do informacji i konsultacji (art. 21); prawo do uczestniczenia w określaniu i polepszaniu warunków pracy i środowiska pracy w przedsiębiorstwie (art. 22); prawo do ochrony w przypadku rozwiązania stosunku pracy (art. 24); prawo do ochrony roszczeń pracowniczych w razie niewypłacalności pracodawcy (art. 25); prawo do godności w miejscu pracy (art. 26); i prawo przedstawicieli pracowników w przedsiębiorstwie do ochrony oraz do odpowiednich ułatwień dla wykonywania ich zadań (art. 28). </w:t>
      </w:r>
      <w:r>
        <w:rPr>
          <w:sz w:val="24"/>
          <w:szCs w:val="24"/>
        </w:rPr>
        <w:t>O ile</w:t>
      </w:r>
      <w:r w:rsidRPr="00A42E41">
        <w:rPr>
          <w:sz w:val="24"/>
          <w:szCs w:val="24"/>
        </w:rPr>
        <w:t xml:space="preserve"> zgodnie z częścią I</w:t>
      </w:r>
      <w:r>
        <w:rPr>
          <w:sz w:val="24"/>
          <w:szCs w:val="24"/>
        </w:rPr>
        <w:t xml:space="preserve"> zrewidowanej</w:t>
      </w:r>
      <w:r w:rsidRPr="00A42E41">
        <w:rPr>
          <w:sz w:val="24"/>
          <w:szCs w:val="24"/>
        </w:rPr>
        <w:t xml:space="preserve"> Europejskiej Karty Społecznej Państwa-Strony przyjmują za cel swej polityki stworzenie warunków, w których wszystkie prawa i zasady Karty</w:t>
      </w:r>
      <w:r>
        <w:rPr>
          <w:sz w:val="24"/>
          <w:szCs w:val="24"/>
        </w:rPr>
        <w:t xml:space="preserve"> będą</w:t>
      </w:r>
      <w:r w:rsidRPr="00A42E41">
        <w:rPr>
          <w:sz w:val="24"/>
          <w:szCs w:val="24"/>
        </w:rPr>
        <w:t xml:space="preserve"> mog</w:t>
      </w:r>
      <w:r>
        <w:rPr>
          <w:sz w:val="24"/>
          <w:szCs w:val="24"/>
        </w:rPr>
        <w:t>ły</w:t>
      </w:r>
      <w:r w:rsidRPr="00A42E41">
        <w:rPr>
          <w:sz w:val="24"/>
          <w:szCs w:val="24"/>
        </w:rPr>
        <w:t xml:space="preserve"> być skutecznie realizowane, zgodnie z częścią II muszą zaakceptować tylko </w:t>
      </w:r>
      <w:r>
        <w:rPr>
          <w:sz w:val="24"/>
          <w:szCs w:val="24"/>
        </w:rPr>
        <w:t>określoną</w:t>
      </w:r>
      <w:r w:rsidRPr="00A42E41">
        <w:rPr>
          <w:sz w:val="24"/>
          <w:szCs w:val="24"/>
        </w:rPr>
        <w:t xml:space="preserve"> liczbę podstawowych przepisów i dodatkową liczbę artykułów lub numerowanych ustępów, które mogą wybrać. Przegląd praw i orzecznictwo Europejskiego Komitetu Praw Społecznych </w:t>
      </w:r>
      <w:r>
        <w:rPr>
          <w:sz w:val="24"/>
          <w:szCs w:val="24"/>
        </w:rPr>
        <w:t>można znaleźć w dokumencie „</w:t>
      </w:r>
      <w:r w:rsidRPr="00A42E41">
        <w:rPr>
          <w:sz w:val="24"/>
          <w:szCs w:val="24"/>
        </w:rPr>
        <w:t>Istniejące zobowiązania państw członkowskich wynikając</w:t>
      </w:r>
      <w:r>
        <w:rPr>
          <w:sz w:val="24"/>
          <w:szCs w:val="24"/>
        </w:rPr>
        <w:t>e</w:t>
      </w:r>
      <w:r w:rsidRPr="00A42E41">
        <w:rPr>
          <w:sz w:val="24"/>
          <w:szCs w:val="24"/>
        </w:rPr>
        <w:t xml:space="preserve"> z traktatów Rady Europy i innych instrumentów w kontekście praw człowie</w:t>
      </w:r>
      <w:r>
        <w:rPr>
          <w:sz w:val="24"/>
          <w:szCs w:val="24"/>
        </w:rPr>
        <w:t>ka i biznesu” CDDH-CORP (2014</w:t>
      </w:r>
      <w:r w:rsidRPr="00A42E41">
        <w:rPr>
          <w:sz w:val="24"/>
          <w:szCs w:val="24"/>
        </w:rPr>
        <w:t>)08. Europejska Karta Społeczna i/lub jej zrewidowana wersja zostały podpisane przez 47 państw członkowskich Rady Europy</w:t>
      </w:r>
      <w:r>
        <w:rPr>
          <w:sz w:val="24"/>
          <w:szCs w:val="24"/>
        </w:rPr>
        <w:t xml:space="preserve"> i</w:t>
      </w:r>
      <w:r w:rsidRPr="00A42E41">
        <w:rPr>
          <w:sz w:val="24"/>
          <w:szCs w:val="24"/>
        </w:rPr>
        <w:t xml:space="preserve"> ratyfikowan</w:t>
      </w:r>
      <w:r>
        <w:rPr>
          <w:sz w:val="24"/>
          <w:szCs w:val="24"/>
        </w:rPr>
        <w:t>e</w:t>
      </w:r>
      <w:r w:rsidRPr="00A42E41">
        <w:rPr>
          <w:sz w:val="24"/>
          <w:szCs w:val="24"/>
        </w:rPr>
        <w:t xml:space="preserve"> przez 43 z nich. Rekomendacja wskazuje, że państwa członkowskie powinny rozważyć zwiększenie liczby przyjmowanych przepisów, a te państwa, które jeszcze nie ratyfikowały</w:t>
      </w:r>
      <w:r>
        <w:rPr>
          <w:sz w:val="24"/>
          <w:szCs w:val="24"/>
        </w:rPr>
        <w:t xml:space="preserve"> zrewidowanej</w:t>
      </w:r>
      <w:r w:rsidRPr="00A42E41">
        <w:rPr>
          <w:sz w:val="24"/>
          <w:szCs w:val="24"/>
        </w:rPr>
        <w:t xml:space="preserve"> Europejskiej Karty Społecznej z 1996 r. oraz Protokołu Dodatkowego z 1995 r. przewidującego system skarg zbiorowych (ETS nr 158)</w:t>
      </w:r>
      <w:r>
        <w:rPr>
          <w:sz w:val="24"/>
          <w:szCs w:val="24"/>
        </w:rPr>
        <w:t>,</w:t>
      </w:r>
      <w:r w:rsidRPr="00A42E41">
        <w:rPr>
          <w:sz w:val="24"/>
          <w:szCs w:val="24"/>
        </w:rPr>
        <w:t xml:space="preserve"> powinny to rozważyć. Są to kluczowe cele „procesu </w:t>
      </w:r>
      <w:r>
        <w:rPr>
          <w:sz w:val="24"/>
          <w:szCs w:val="24"/>
        </w:rPr>
        <w:t>t</w:t>
      </w:r>
      <w:r w:rsidRPr="00A42E41">
        <w:rPr>
          <w:sz w:val="24"/>
          <w:szCs w:val="24"/>
        </w:rPr>
        <w:t>uryńskiego</w:t>
      </w:r>
      <w:r>
        <w:rPr>
          <w:sz w:val="24"/>
          <w:szCs w:val="24"/>
        </w:rPr>
        <w:t>”</w:t>
      </w:r>
      <w:r w:rsidRPr="00A42E41">
        <w:rPr>
          <w:sz w:val="24"/>
          <w:szCs w:val="24"/>
        </w:rPr>
        <w:t xml:space="preserve">, który ma na celu wzmocnienie normatywnego systemu Karty w ramach Rady Europy </w:t>
      </w:r>
      <w:r>
        <w:rPr>
          <w:sz w:val="24"/>
          <w:szCs w:val="24"/>
        </w:rPr>
        <w:t>oraz</w:t>
      </w:r>
      <w:r w:rsidRPr="00A42E41">
        <w:rPr>
          <w:sz w:val="24"/>
          <w:szCs w:val="24"/>
        </w:rPr>
        <w:t xml:space="preserve"> w</w:t>
      </w:r>
      <w:r>
        <w:rPr>
          <w:sz w:val="24"/>
          <w:szCs w:val="24"/>
        </w:rPr>
        <w:t xml:space="preserve"> jego relacji</w:t>
      </w:r>
      <w:r w:rsidRPr="00A42E41">
        <w:rPr>
          <w:sz w:val="24"/>
          <w:szCs w:val="24"/>
        </w:rPr>
        <w:t xml:space="preserve"> do prawa Unii Europejskiej, i który wzywa państwa członkowskie do usprawnienia realizacji społecznych i </w:t>
      </w:r>
      <w:r>
        <w:rPr>
          <w:sz w:val="24"/>
          <w:szCs w:val="24"/>
        </w:rPr>
        <w:t>gospodarczych</w:t>
      </w:r>
      <w:r w:rsidRPr="00A42E41">
        <w:rPr>
          <w:sz w:val="24"/>
          <w:szCs w:val="24"/>
        </w:rPr>
        <w:t xml:space="preserve"> praw człowieka w Europie wraz z prawami obywatelskimi i politycznymi zagwarantowanymi w EKPC.</w:t>
      </w:r>
      <w:r w:rsidRPr="00A42E41">
        <w:rPr>
          <w:rStyle w:val="Odwoanieprzypisukocowego"/>
          <w:sz w:val="24"/>
          <w:szCs w:val="24"/>
        </w:rPr>
        <w:endnoteReference w:id="14"/>
      </w:r>
      <w:r w:rsidRPr="00A42E41">
        <w:rPr>
          <w:sz w:val="24"/>
          <w:szCs w:val="24"/>
        </w:rPr>
        <w:t xml:space="preserve"> </w:t>
      </w:r>
    </w:p>
    <w:p w:rsidR="00A52948" w:rsidRDefault="00A52948" w:rsidP="00E7396B">
      <w:pPr>
        <w:pStyle w:val="Akapitzlist"/>
        <w:spacing w:before="120" w:after="120" w:line="240" w:lineRule="auto"/>
        <w:ind w:left="567"/>
        <w:contextualSpacing w:val="0"/>
        <w:jc w:val="both"/>
        <w:rPr>
          <w:i/>
          <w:sz w:val="24"/>
          <w:szCs w:val="24"/>
        </w:rPr>
      </w:pPr>
    </w:p>
    <w:p w:rsidR="00591EC1" w:rsidRPr="00A42E41" w:rsidRDefault="00591EC1" w:rsidP="00E7396B">
      <w:pPr>
        <w:pStyle w:val="Akapitzlist"/>
        <w:spacing w:before="120" w:after="120" w:line="240" w:lineRule="auto"/>
        <w:ind w:left="567"/>
        <w:contextualSpacing w:val="0"/>
        <w:jc w:val="both"/>
        <w:rPr>
          <w:i/>
          <w:sz w:val="24"/>
          <w:szCs w:val="24"/>
        </w:rPr>
      </w:pPr>
      <w:r w:rsidRPr="00A42E41">
        <w:rPr>
          <w:i/>
          <w:sz w:val="24"/>
          <w:szCs w:val="24"/>
        </w:rPr>
        <w:t>Ocena krajowej legislacji</w:t>
      </w:r>
    </w:p>
    <w:p w:rsidR="00591EC1" w:rsidRPr="00A42E41" w:rsidRDefault="00591EC1" w:rsidP="00E7396B">
      <w:pPr>
        <w:pStyle w:val="Akapitzlist"/>
        <w:numPr>
          <w:ilvl w:val="0"/>
          <w:numId w:val="19"/>
        </w:numPr>
        <w:spacing w:before="120" w:after="120" w:line="240" w:lineRule="auto"/>
        <w:ind w:left="567"/>
        <w:contextualSpacing w:val="0"/>
        <w:jc w:val="both"/>
        <w:rPr>
          <w:sz w:val="24"/>
          <w:szCs w:val="24"/>
        </w:rPr>
      </w:pPr>
      <w:r w:rsidRPr="00CF1FB3">
        <w:rPr>
          <w:sz w:val="24"/>
          <w:szCs w:val="24"/>
          <w:u w:val="single"/>
        </w:rPr>
        <w:t>Paragraf 18 Rekomendacji</w:t>
      </w:r>
      <w:r w:rsidRPr="00A42E41">
        <w:rPr>
          <w:sz w:val="24"/>
          <w:szCs w:val="24"/>
        </w:rPr>
        <w:t xml:space="preserve"> sugeruje, </w:t>
      </w:r>
      <w:r>
        <w:rPr>
          <w:sz w:val="24"/>
          <w:szCs w:val="24"/>
        </w:rPr>
        <w:t>aby</w:t>
      </w:r>
      <w:r w:rsidRPr="00A42E41">
        <w:rPr>
          <w:sz w:val="24"/>
          <w:szCs w:val="24"/>
        </w:rPr>
        <w:t xml:space="preserve"> ustawodawstwo</w:t>
      </w:r>
      <w:r>
        <w:rPr>
          <w:sz w:val="24"/>
          <w:szCs w:val="24"/>
        </w:rPr>
        <w:t xml:space="preserve"> państw członkowskich</w:t>
      </w:r>
      <w:r w:rsidRPr="00A42E41">
        <w:rPr>
          <w:sz w:val="24"/>
          <w:szCs w:val="24"/>
        </w:rPr>
        <w:t xml:space="preserve"> stwarza</w:t>
      </w:r>
      <w:r>
        <w:rPr>
          <w:sz w:val="24"/>
          <w:szCs w:val="24"/>
        </w:rPr>
        <w:t>ło</w:t>
      </w:r>
      <w:r w:rsidRPr="00A42E41">
        <w:rPr>
          <w:sz w:val="24"/>
          <w:szCs w:val="24"/>
        </w:rPr>
        <w:t xml:space="preserve"> warunki sprzyjające poszanowaniu praw człowieka przez przedsiębiorstwa, nie tworzy</w:t>
      </w:r>
      <w:r>
        <w:rPr>
          <w:sz w:val="24"/>
          <w:szCs w:val="24"/>
        </w:rPr>
        <w:t>ło natomiast</w:t>
      </w:r>
      <w:r w:rsidRPr="00A42E41">
        <w:rPr>
          <w:sz w:val="24"/>
          <w:szCs w:val="24"/>
        </w:rPr>
        <w:t xml:space="preserve"> barier w zapewni</w:t>
      </w:r>
      <w:r>
        <w:rPr>
          <w:sz w:val="24"/>
          <w:szCs w:val="24"/>
        </w:rPr>
        <w:t>a</w:t>
      </w:r>
      <w:r w:rsidRPr="00A42E41">
        <w:rPr>
          <w:sz w:val="24"/>
          <w:szCs w:val="24"/>
        </w:rPr>
        <w:t>niu skutecznej odpowiedzialności i środk</w:t>
      </w:r>
      <w:r>
        <w:rPr>
          <w:sz w:val="24"/>
          <w:szCs w:val="24"/>
        </w:rPr>
        <w:t>ów</w:t>
      </w:r>
      <w:r w:rsidRPr="00A42E41">
        <w:rPr>
          <w:sz w:val="24"/>
          <w:szCs w:val="24"/>
        </w:rPr>
        <w:t xml:space="preserve"> zaradcz</w:t>
      </w:r>
      <w:r>
        <w:rPr>
          <w:sz w:val="24"/>
          <w:szCs w:val="24"/>
        </w:rPr>
        <w:t>ych</w:t>
      </w:r>
      <w:r w:rsidRPr="00A42E41">
        <w:rPr>
          <w:sz w:val="24"/>
          <w:szCs w:val="24"/>
        </w:rPr>
        <w:t xml:space="preserve"> w przypadku naruszenia praw człowieka związanego z biznesem. W tym celu </w:t>
      </w:r>
      <w:r>
        <w:rPr>
          <w:sz w:val="24"/>
          <w:szCs w:val="24"/>
        </w:rPr>
        <w:t>część</w:t>
      </w:r>
      <w:r w:rsidRPr="00A42E41">
        <w:rPr>
          <w:sz w:val="24"/>
          <w:szCs w:val="24"/>
        </w:rPr>
        <w:t xml:space="preserve"> państw członkowski</w:t>
      </w:r>
      <w:r>
        <w:rPr>
          <w:sz w:val="24"/>
          <w:szCs w:val="24"/>
        </w:rPr>
        <w:t>ch</w:t>
      </w:r>
      <w:r w:rsidRPr="00A42E41">
        <w:rPr>
          <w:sz w:val="24"/>
          <w:szCs w:val="24"/>
        </w:rPr>
        <w:t>, któr</w:t>
      </w:r>
      <w:r>
        <w:rPr>
          <w:sz w:val="24"/>
          <w:szCs w:val="24"/>
        </w:rPr>
        <w:t>a</w:t>
      </w:r>
      <w:r w:rsidRPr="00A42E41">
        <w:rPr>
          <w:sz w:val="24"/>
          <w:szCs w:val="24"/>
        </w:rPr>
        <w:t xml:space="preserve"> przyjęł</w:t>
      </w:r>
      <w:r>
        <w:rPr>
          <w:sz w:val="24"/>
          <w:szCs w:val="24"/>
        </w:rPr>
        <w:t>a</w:t>
      </w:r>
      <w:r w:rsidRPr="00A42E41">
        <w:rPr>
          <w:sz w:val="24"/>
          <w:szCs w:val="24"/>
        </w:rPr>
        <w:t xml:space="preserve"> </w:t>
      </w:r>
      <w:r>
        <w:rPr>
          <w:sz w:val="24"/>
          <w:szCs w:val="24"/>
        </w:rPr>
        <w:t>już Krajowe Plany D</w:t>
      </w:r>
      <w:r w:rsidRPr="00A42E41">
        <w:rPr>
          <w:sz w:val="24"/>
          <w:szCs w:val="24"/>
        </w:rPr>
        <w:t>ziałania</w:t>
      </w:r>
      <w:r>
        <w:rPr>
          <w:sz w:val="24"/>
          <w:szCs w:val="24"/>
        </w:rPr>
        <w:t>,</w:t>
      </w:r>
      <w:r w:rsidRPr="00A42E41">
        <w:rPr>
          <w:sz w:val="24"/>
          <w:szCs w:val="24"/>
        </w:rPr>
        <w:t xml:space="preserve"> wyznaczył</w:t>
      </w:r>
      <w:r>
        <w:rPr>
          <w:sz w:val="24"/>
          <w:szCs w:val="24"/>
        </w:rPr>
        <w:t>a</w:t>
      </w:r>
      <w:r w:rsidRPr="00A42E41">
        <w:rPr>
          <w:sz w:val="24"/>
          <w:szCs w:val="24"/>
        </w:rPr>
        <w:t xml:space="preserve"> </w:t>
      </w:r>
      <w:r>
        <w:rPr>
          <w:sz w:val="24"/>
          <w:szCs w:val="24"/>
        </w:rPr>
        <w:t>swoje</w:t>
      </w:r>
      <w:r w:rsidRPr="00A42E41">
        <w:rPr>
          <w:sz w:val="24"/>
          <w:szCs w:val="24"/>
        </w:rPr>
        <w:t xml:space="preserve"> właściwe organy do</w:t>
      </w:r>
      <w:r>
        <w:rPr>
          <w:sz w:val="24"/>
          <w:szCs w:val="24"/>
        </w:rPr>
        <w:t xml:space="preserve"> </w:t>
      </w:r>
      <w:r w:rsidRPr="00A42E41">
        <w:rPr>
          <w:sz w:val="24"/>
          <w:szCs w:val="24"/>
        </w:rPr>
        <w:t>regularne</w:t>
      </w:r>
      <w:r>
        <w:rPr>
          <w:sz w:val="24"/>
          <w:szCs w:val="24"/>
        </w:rPr>
        <w:t>go</w:t>
      </w:r>
      <w:r w:rsidRPr="00A42E41">
        <w:rPr>
          <w:sz w:val="24"/>
          <w:szCs w:val="24"/>
        </w:rPr>
        <w:t xml:space="preserve"> ocen</w:t>
      </w:r>
      <w:r>
        <w:rPr>
          <w:sz w:val="24"/>
          <w:szCs w:val="24"/>
        </w:rPr>
        <w:t>iania</w:t>
      </w:r>
      <w:r w:rsidRPr="00C87456">
        <w:rPr>
          <w:sz w:val="24"/>
          <w:szCs w:val="24"/>
        </w:rPr>
        <w:t xml:space="preserve"> </w:t>
      </w:r>
      <w:r w:rsidRPr="00A42E41">
        <w:rPr>
          <w:sz w:val="24"/>
          <w:szCs w:val="24"/>
        </w:rPr>
        <w:t>wszelkich nowych przepis</w:t>
      </w:r>
      <w:r>
        <w:rPr>
          <w:sz w:val="24"/>
          <w:szCs w:val="24"/>
        </w:rPr>
        <w:t>ów</w:t>
      </w:r>
      <w:r w:rsidRPr="00A42E41">
        <w:rPr>
          <w:sz w:val="24"/>
          <w:szCs w:val="24"/>
        </w:rPr>
        <w:t xml:space="preserve"> </w:t>
      </w:r>
      <w:r>
        <w:rPr>
          <w:sz w:val="24"/>
          <w:szCs w:val="24"/>
        </w:rPr>
        <w:t>pod kątem ich</w:t>
      </w:r>
      <w:r w:rsidRPr="00A42E41">
        <w:rPr>
          <w:sz w:val="24"/>
          <w:szCs w:val="24"/>
        </w:rPr>
        <w:t xml:space="preserve"> wpływu na praw</w:t>
      </w:r>
      <w:r>
        <w:rPr>
          <w:sz w:val="24"/>
          <w:szCs w:val="24"/>
        </w:rPr>
        <w:t>a</w:t>
      </w:r>
      <w:r w:rsidRPr="00A42E41">
        <w:rPr>
          <w:sz w:val="24"/>
          <w:szCs w:val="24"/>
        </w:rPr>
        <w:t xml:space="preserve"> człowieka</w:t>
      </w:r>
      <w:r>
        <w:rPr>
          <w:sz w:val="24"/>
          <w:szCs w:val="24"/>
        </w:rPr>
        <w:t xml:space="preserve">, a także do </w:t>
      </w:r>
      <w:r w:rsidRPr="00A42E41">
        <w:rPr>
          <w:sz w:val="24"/>
          <w:szCs w:val="24"/>
        </w:rPr>
        <w:t>identyfik</w:t>
      </w:r>
      <w:r>
        <w:rPr>
          <w:sz w:val="24"/>
          <w:szCs w:val="24"/>
        </w:rPr>
        <w:t>owania</w:t>
      </w:r>
      <w:r w:rsidRPr="00A42E41">
        <w:rPr>
          <w:sz w:val="24"/>
          <w:szCs w:val="24"/>
        </w:rPr>
        <w:t xml:space="preserve"> i niwelowania</w:t>
      </w:r>
      <w:r>
        <w:rPr>
          <w:sz w:val="24"/>
          <w:szCs w:val="24"/>
        </w:rPr>
        <w:t xml:space="preserve"> w nich</w:t>
      </w:r>
      <w:r w:rsidRPr="00A42E41">
        <w:rPr>
          <w:sz w:val="24"/>
          <w:szCs w:val="24"/>
        </w:rPr>
        <w:t xml:space="preserve"> luk </w:t>
      </w:r>
      <w:r>
        <w:rPr>
          <w:sz w:val="24"/>
          <w:szCs w:val="24"/>
        </w:rPr>
        <w:t>związanych z tą problematyką</w:t>
      </w:r>
      <w:r w:rsidRPr="00A42E41">
        <w:rPr>
          <w:sz w:val="24"/>
          <w:szCs w:val="24"/>
        </w:rPr>
        <w:t xml:space="preserve">. </w:t>
      </w:r>
      <w:r>
        <w:rPr>
          <w:sz w:val="24"/>
          <w:szCs w:val="24"/>
        </w:rPr>
        <w:t>Ustalenia</w:t>
      </w:r>
      <w:r w:rsidRPr="00A42E41">
        <w:rPr>
          <w:sz w:val="24"/>
          <w:szCs w:val="24"/>
        </w:rPr>
        <w:t xml:space="preserve"> mechanizmów monitorowania praw człowieka, </w:t>
      </w:r>
      <w:r>
        <w:rPr>
          <w:sz w:val="24"/>
          <w:szCs w:val="24"/>
        </w:rPr>
        <w:t>uzyskane</w:t>
      </w:r>
      <w:r w:rsidRPr="00A42E41">
        <w:rPr>
          <w:sz w:val="24"/>
          <w:szCs w:val="24"/>
        </w:rPr>
        <w:t xml:space="preserve"> za pośrednictwem Organizacji Narodów Zjednoczonych, Międzynarodowej Organizacji Pracy czy</w:t>
      </w:r>
      <w:r>
        <w:rPr>
          <w:sz w:val="24"/>
          <w:szCs w:val="24"/>
        </w:rPr>
        <w:t xml:space="preserve"> też</w:t>
      </w:r>
      <w:r w:rsidRPr="00A42E41">
        <w:rPr>
          <w:sz w:val="24"/>
          <w:szCs w:val="24"/>
        </w:rPr>
        <w:t xml:space="preserve"> Rady Europy, powinny być należycie uwzględniane podczas przeprowadzania takiej oceny.</w:t>
      </w:r>
    </w:p>
    <w:p w:rsidR="00591EC1" w:rsidRDefault="00591EC1" w:rsidP="00E7396B">
      <w:pPr>
        <w:pStyle w:val="Akapitzlist"/>
        <w:spacing w:before="120" w:after="120" w:line="240" w:lineRule="auto"/>
        <w:ind w:left="1080"/>
        <w:contextualSpacing w:val="0"/>
        <w:jc w:val="both"/>
        <w:rPr>
          <w:sz w:val="24"/>
          <w:szCs w:val="24"/>
        </w:rPr>
      </w:pPr>
    </w:p>
    <w:p w:rsidR="00277B72" w:rsidRDefault="00277B72" w:rsidP="00E7396B">
      <w:pPr>
        <w:pStyle w:val="Akapitzlist"/>
        <w:spacing w:before="120" w:after="120" w:line="240" w:lineRule="auto"/>
        <w:ind w:left="1080"/>
        <w:contextualSpacing w:val="0"/>
        <w:jc w:val="both"/>
        <w:rPr>
          <w:sz w:val="24"/>
          <w:szCs w:val="24"/>
        </w:rPr>
      </w:pPr>
    </w:p>
    <w:p w:rsidR="00A52948" w:rsidRDefault="00A52948" w:rsidP="00E7396B">
      <w:pPr>
        <w:pStyle w:val="Akapitzlist"/>
        <w:spacing w:before="120" w:after="120" w:line="240" w:lineRule="auto"/>
        <w:ind w:left="1080"/>
        <w:contextualSpacing w:val="0"/>
        <w:jc w:val="both"/>
        <w:rPr>
          <w:sz w:val="24"/>
          <w:szCs w:val="24"/>
        </w:rPr>
      </w:pPr>
    </w:p>
    <w:p w:rsidR="00A52948" w:rsidRPr="00A42E41" w:rsidRDefault="00A52948" w:rsidP="00E7396B">
      <w:pPr>
        <w:pStyle w:val="Akapitzlist"/>
        <w:spacing w:before="120" w:after="120" w:line="240" w:lineRule="auto"/>
        <w:ind w:left="1080"/>
        <w:contextualSpacing w:val="0"/>
        <w:jc w:val="both"/>
        <w:rPr>
          <w:sz w:val="24"/>
          <w:szCs w:val="24"/>
        </w:rPr>
      </w:pPr>
    </w:p>
    <w:p w:rsidR="00591EC1" w:rsidRDefault="00591EC1" w:rsidP="00E7396B">
      <w:pPr>
        <w:pStyle w:val="Akapitzlist"/>
        <w:numPr>
          <w:ilvl w:val="0"/>
          <w:numId w:val="31"/>
        </w:numPr>
        <w:spacing w:before="120" w:after="120" w:line="240" w:lineRule="auto"/>
        <w:contextualSpacing w:val="0"/>
        <w:jc w:val="both"/>
        <w:rPr>
          <w:b/>
          <w:sz w:val="24"/>
          <w:szCs w:val="24"/>
        </w:rPr>
      </w:pPr>
      <w:r w:rsidRPr="0090027F">
        <w:rPr>
          <w:b/>
          <w:sz w:val="24"/>
          <w:szCs w:val="24"/>
        </w:rPr>
        <w:t>Działania państwa</w:t>
      </w:r>
      <w:r w:rsidRPr="00A42E41">
        <w:rPr>
          <w:b/>
          <w:sz w:val="24"/>
          <w:szCs w:val="24"/>
        </w:rPr>
        <w:t xml:space="preserve"> w celu zapewnienia odpowiedzialności przedsiębiorstw za poszanowanie praw człowieka</w:t>
      </w:r>
    </w:p>
    <w:p w:rsidR="00277B72" w:rsidRPr="00A42E41" w:rsidRDefault="00277B72" w:rsidP="00277B72">
      <w:pPr>
        <w:pStyle w:val="Akapitzlist"/>
        <w:spacing w:before="120" w:after="120" w:line="240" w:lineRule="auto"/>
        <w:ind w:left="567"/>
        <w:contextualSpacing w:val="0"/>
        <w:jc w:val="both"/>
        <w:rPr>
          <w:b/>
          <w:sz w:val="24"/>
          <w:szCs w:val="24"/>
        </w:rPr>
      </w:pPr>
    </w:p>
    <w:p w:rsidR="00591EC1" w:rsidRPr="00A42E41" w:rsidRDefault="00591EC1" w:rsidP="00E7396B">
      <w:pPr>
        <w:spacing w:before="120" w:after="120" w:line="240" w:lineRule="auto"/>
        <w:ind w:left="567"/>
        <w:jc w:val="both"/>
        <w:rPr>
          <w:i/>
          <w:sz w:val="24"/>
          <w:szCs w:val="24"/>
        </w:rPr>
      </w:pPr>
      <w:r>
        <w:rPr>
          <w:i/>
          <w:sz w:val="24"/>
          <w:szCs w:val="24"/>
        </w:rPr>
        <w:t>Odpowiedzialność</w:t>
      </w:r>
      <w:r w:rsidRPr="00A42E41">
        <w:rPr>
          <w:i/>
          <w:sz w:val="24"/>
          <w:szCs w:val="24"/>
        </w:rPr>
        <w:t xml:space="preserve"> przedsiębiorstw </w:t>
      </w:r>
      <w:r>
        <w:rPr>
          <w:i/>
          <w:sz w:val="24"/>
          <w:szCs w:val="24"/>
        </w:rPr>
        <w:t>za</w:t>
      </w:r>
      <w:r w:rsidRPr="00A42E41">
        <w:rPr>
          <w:i/>
          <w:sz w:val="24"/>
          <w:szCs w:val="24"/>
        </w:rPr>
        <w:t xml:space="preserve"> poszanowani</w:t>
      </w:r>
      <w:r>
        <w:rPr>
          <w:i/>
          <w:sz w:val="24"/>
          <w:szCs w:val="24"/>
        </w:rPr>
        <w:t>e</w:t>
      </w:r>
      <w:r w:rsidRPr="00A42E41">
        <w:rPr>
          <w:i/>
          <w:sz w:val="24"/>
          <w:szCs w:val="24"/>
        </w:rPr>
        <w:t xml:space="preserve"> praw człowieka</w:t>
      </w:r>
    </w:p>
    <w:p w:rsidR="00591EC1" w:rsidRPr="00A42E41" w:rsidRDefault="00591EC1" w:rsidP="00E7396B">
      <w:pPr>
        <w:pStyle w:val="Akapitzlist"/>
        <w:numPr>
          <w:ilvl w:val="0"/>
          <w:numId w:val="19"/>
        </w:numPr>
        <w:spacing w:before="120" w:after="120" w:line="240" w:lineRule="auto"/>
        <w:ind w:left="567"/>
        <w:contextualSpacing w:val="0"/>
        <w:jc w:val="both"/>
        <w:rPr>
          <w:bCs/>
          <w:sz w:val="24"/>
          <w:szCs w:val="24"/>
        </w:rPr>
      </w:pPr>
      <w:r w:rsidRPr="00A42E41">
        <w:rPr>
          <w:sz w:val="24"/>
          <w:szCs w:val="24"/>
        </w:rPr>
        <w:t>Drugi filar Wytycznych ONZ</w:t>
      </w:r>
      <w:r>
        <w:rPr>
          <w:sz w:val="24"/>
          <w:szCs w:val="24"/>
        </w:rPr>
        <w:t>,</w:t>
      </w:r>
      <w:r w:rsidRPr="00A42E41">
        <w:rPr>
          <w:sz w:val="24"/>
          <w:szCs w:val="24"/>
        </w:rPr>
        <w:t xml:space="preserve"> „Odpowiedzialność przedsiębiorstw</w:t>
      </w:r>
      <w:r>
        <w:rPr>
          <w:sz w:val="24"/>
          <w:szCs w:val="24"/>
        </w:rPr>
        <w:t xml:space="preserve"> za poszanowanie praw człowieka”</w:t>
      </w:r>
      <w:r w:rsidRPr="00A42E41">
        <w:rPr>
          <w:sz w:val="24"/>
          <w:szCs w:val="24"/>
        </w:rPr>
        <w:t>, jest skierowany do przedsiębiorstw. W ramach tego filaru podstawowe zasady stanowią, że przedsiębiorstwa powinny przestrzegać praw człowieka (zasada 11),</w:t>
      </w:r>
      <w:r>
        <w:rPr>
          <w:sz w:val="24"/>
          <w:szCs w:val="24"/>
        </w:rPr>
        <w:t xml:space="preserve"> zaś ich</w:t>
      </w:r>
      <w:r w:rsidRPr="00A42E41">
        <w:rPr>
          <w:sz w:val="24"/>
          <w:szCs w:val="24"/>
        </w:rPr>
        <w:t xml:space="preserve"> odpowiedzialność</w:t>
      </w:r>
      <w:r>
        <w:rPr>
          <w:sz w:val="24"/>
          <w:szCs w:val="24"/>
        </w:rPr>
        <w:t xml:space="preserve"> w tym zakresie</w:t>
      </w:r>
      <w:r w:rsidRPr="00A42E41">
        <w:rPr>
          <w:sz w:val="24"/>
          <w:szCs w:val="24"/>
        </w:rPr>
        <w:t xml:space="preserve"> wymaga, aby unikały powodowania lub przyczyniania się do negatywnego wpływu na prawa człowieka przez swoją działalnoś</w:t>
      </w:r>
      <w:r>
        <w:rPr>
          <w:sz w:val="24"/>
          <w:szCs w:val="24"/>
        </w:rPr>
        <w:t>ć,</w:t>
      </w:r>
      <w:r w:rsidRPr="00A42E41">
        <w:rPr>
          <w:sz w:val="24"/>
          <w:szCs w:val="24"/>
        </w:rPr>
        <w:t xml:space="preserve"> pod</w:t>
      </w:r>
      <w:r>
        <w:rPr>
          <w:sz w:val="24"/>
          <w:szCs w:val="24"/>
        </w:rPr>
        <w:t>e</w:t>
      </w:r>
      <w:r w:rsidRPr="00A42E41">
        <w:rPr>
          <w:sz w:val="24"/>
          <w:szCs w:val="24"/>
        </w:rPr>
        <w:t>j</w:t>
      </w:r>
      <w:r>
        <w:rPr>
          <w:sz w:val="24"/>
          <w:szCs w:val="24"/>
        </w:rPr>
        <w:t>mowały</w:t>
      </w:r>
      <w:r w:rsidRPr="00A42E41">
        <w:rPr>
          <w:sz w:val="24"/>
          <w:szCs w:val="24"/>
        </w:rPr>
        <w:t xml:space="preserve"> działania naprawcze, gdy </w:t>
      </w:r>
      <w:r>
        <w:rPr>
          <w:sz w:val="24"/>
          <w:szCs w:val="24"/>
        </w:rPr>
        <w:t>dojdzie do naruszeń, a także starały się</w:t>
      </w:r>
      <w:r w:rsidRPr="00A42E41">
        <w:rPr>
          <w:sz w:val="24"/>
          <w:szCs w:val="24"/>
        </w:rPr>
        <w:t xml:space="preserve"> zapobie</w:t>
      </w:r>
      <w:r>
        <w:rPr>
          <w:sz w:val="24"/>
          <w:szCs w:val="24"/>
        </w:rPr>
        <w:t>gać</w:t>
      </w:r>
      <w:r w:rsidRPr="00A42E41">
        <w:rPr>
          <w:sz w:val="24"/>
          <w:szCs w:val="24"/>
        </w:rPr>
        <w:t xml:space="preserve"> negatywnemu wpływowi na prawa człowieka lub łagodzi</w:t>
      </w:r>
      <w:r>
        <w:rPr>
          <w:sz w:val="24"/>
          <w:szCs w:val="24"/>
        </w:rPr>
        <w:t>ć</w:t>
      </w:r>
      <w:r w:rsidRPr="00A42E41">
        <w:rPr>
          <w:sz w:val="24"/>
          <w:szCs w:val="24"/>
        </w:rPr>
        <w:t xml:space="preserve"> taki wpływ, nawet jeśli one same nie przyczyniły się do niego (zasada 13). </w:t>
      </w:r>
      <w:r w:rsidRPr="00A42E41">
        <w:rPr>
          <w:bCs/>
          <w:sz w:val="24"/>
          <w:szCs w:val="24"/>
        </w:rPr>
        <w:t xml:space="preserve">Odpowiedzialność przedsiębiorstw za poszanowanie praw człowieka dotyczy wszystkich przedsiębiorstw, bez względu na ich wielkość, branżę, kontekst działalności, </w:t>
      </w:r>
      <w:r>
        <w:rPr>
          <w:bCs/>
          <w:sz w:val="24"/>
          <w:szCs w:val="24"/>
        </w:rPr>
        <w:t xml:space="preserve">stosunki </w:t>
      </w:r>
      <w:r w:rsidRPr="00A42E41">
        <w:rPr>
          <w:bCs/>
          <w:sz w:val="24"/>
          <w:szCs w:val="24"/>
        </w:rPr>
        <w:t>własnoś</w:t>
      </w:r>
      <w:r>
        <w:rPr>
          <w:bCs/>
          <w:sz w:val="24"/>
          <w:szCs w:val="24"/>
        </w:rPr>
        <w:t>ciowe</w:t>
      </w:r>
      <w:r w:rsidRPr="00A42E41">
        <w:rPr>
          <w:bCs/>
          <w:sz w:val="24"/>
          <w:szCs w:val="24"/>
        </w:rPr>
        <w:t xml:space="preserve"> i strukturę</w:t>
      </w:r>
      <w:r>
        <w:rPr>
          <w:bCs/>
          <w:sz w:val="24"/>
          <w:szCs w:val="24"/>
        </w:rPr>
        <w:t>, przy czym</w:t>
      </w:r>
      <w:r w:rsidRPr="00A42E41">
        <w:rPr>
          <w:bCs/>
          <w:sz w:val="24"/>
          <w:szCs w:val="24"/>
        </w:rPr>
        <w:t xml:space="preserve"> skala i złożoność środków stosowanych przez przedsiębiorstwa </w:t>
      </w:r>
      <w:r>
        <w:rPr>
          <w:bCs/>
          <w:sz w:val="24"/>
          <w:szCs w:val="24"/>
        </w:rPr>
        <w:t>w celu</w:t>
      </w:r>
      <w:r w:rsidRPr="00A42E41">
        <w:rPr>
          <w:bCs/>
          <w:sz w:val="24"/>
          <w:szCs w:val="24"/>
        </w:rPr>
        <w:t xml:space="preserve"> wywiązania się z tego obowiązku mogą być różne w zależności od tych właśnie czynników</w:t>
      </w:r>
      <w:r w:rsidRPr="00A42E41">
        <w:rPr>
          <w:sz w:val="24"/>
          <w:szCs w:val="24"/>
        </w:rPr>
        <w:t xml:space="preserve"> (zasada 14). </w:t>
      </w:r>
      <w:r>
        <w:rPr>
          <w:bCs/>
          <w:sz w:val="24"/>
          <w:szCs w:val="24"/>
        </w:rPr>
        <w:t>P</w:t>
      </w:r>
      <w:r w:rsidRPr="00A42E41">
        <w:rPr>
          <w:bCs/>
          <w:sz w:val="24"/>
          <w:szCs w:val="24"/>
        </w:rPr>
        <w:t>rzedsiębiorstwa</w:t>
      </w:r>
      <w:r>
        <w:rPr>
          <w:bCs/>
          <w:sz w:val="24"/>
          <w:szCs w:val="24"/>
        </w:rPr>
        <w:t xml:space="preserve"> mogą realizować ten obowiązek poprzez</w:t>
      </w:r>
      <w:r w:rsidRPr="00A42E41">
        <w:rPr>
          <w:bCs/>
          <w:sz w:val="24"/>
          <w:szCs w:val="24"/>
        </w:rPr>
        <w:t xml:space="preserve"> </w:t>
      </w:r>
      <w:r>
        <w:rPr>
          <w:bCs/>
          <w:sz w:val="24"/>
          <w:szCs w:val="24"/>
        </w:rPr>
        <w:t>wdrażanie określonej</w:t>
      </w:r>
      <w:r w:rsidRPr="00A42E41">
        <w:rPr>
          <w:bCs/>
          <w:sz w:val="24"/>
          <w:szCs w:val="24"/>
        </w:rPr>
        <w:t xml:space="preserve"> polityk</w:t>
      </w:r>
      <w:r>
        <w:rPr>
          <w:bCs/>
          <w:sz w:val="24"/>
          <w:szCs w:val="24"/>
        </w:rPr>
        <w:t>i</w:t>
      </w:r>
      <w:r w:rsidRPr="00A42E41">
        <w:rPr>
          <w:bCs/>
          <w:sz w:val="24"/>
          <w:szCs w:val="24"/>
        </w:rPr>
        <w:t xml:space="preserve"> oraz procedur, w tym zobowiązania na poziomie polityki firmy, proces</w:t>
      </w:r>
      <w:r>
        <w:rPr>
          <w:bCs/>
          <w:sz w:val="24"/>
          <w:szCs w:val="24"/>
        </w:rPr>
        <w:t>u</w:t>
      </w:r>
      <w:r w:rsidRPr="00A42E41">
        <w:rPr>
          <w:bCs/>
          <w:sz w:val="24"/>
          <w:szCs w:val="24"/>
        </w:rPr>
        <w:t xml:space="preserve"> należytej staranności w zakresie praw człowieka</w:t>
      </w:r>
      <w:r>
        <w:rPr>
          <w:bCs/>
          <w:sz w:val="24"/>
          <w:szCs w:val="24"/>
        </w:rPr>
        <w:t xml:space="preserve"> oraz</w:t>
      </w:r>
      <w:r w:rsidRPr="00A42E41">
        <w:rPr>
          <w:bCs/>
          <w:sz w:val="24"/>
          <w:szCs w:val="24"/>
        </w:rPr>
        <w:t xml:space="preserve"> procedur umożliwiając</w:t>
      </w:r>
      <w:r>
        <w:rPr>
          <w:bCs/>
          <w:sz w:val="24"/>
          <w:szCs w:val="24"/>
        </w:rPr>
        <w:t>ych</w:t>
      </w:r>
      <w:r w:rsidRPr="00A42E41">
        <w:rPr>
          <w:bCs/>
          <w:sz w:val="24"/>
          <w:szCs w:val="24"/>
        </w:rPr>
        <w:t xml:space="preserve"> działania zaradcze w przy</w:t>
      </w:r>
      <w:r w:rsidRPr="00A42E41">
        <w:rPr>
          <w:bCs/>
          <w:sz w:val="24"/>
          <w:szCs w:val="24"/>
        </w:rPr>
        <w:softHyphen/>
        <w:t xml:space="preserve">padku negatywnego wpływu na prawa człowieka </w:t>
      </w:r>
      <w:r w:rsidRPr="00A42E41">
        <w:rPr>
          <w:sz w:val="24"/>
          <w:szCs w:val="24"/>
        </w:rPr>
        <w:t>(zasada 15).</w:t>
      </w:r>
    </w:p>
    <w:p w:rsidR="00591EC1" w:rsidRPr="00A42E41" w:rsidRDefault="00591EC1" w:rsidP="00E7396B">
      <w:pPr>
        <w:pStyle w:val="Akapitzlist"/>
        <w:spacing w:before="120" w:after="120" w:line="240" w:lineRule="auto"/>
        <w:ind w:left="1080"/>
        <w:contextualSpacing w:val="0"/>
        <w:jc w:val="both"/>
        <w:rPr>
          <w:bCs/>
          <w:sz w:val="24"/>
          <w:szCs w:val="24"/>
        </w:rPr>
      </w:pPr>
    </w:p>
    <w:p w:rsidR="00591EC1" w:rsidRPr="00FE4290" w:rsidRDefault="00591EC1" w:rsidP="00E7396B">
      <w:pPr>
        <w:spacing w:before="120" w:after="120" w:line="240" w:lineRule="auto"/>
        <w:ind w:left="567"/>
        <w:jc w:val="both"/>
        <w:rPr>
          <w:bCs/>
          <w:i/>
          <w:sz w:val="24"/>
          <w:szCs w:val="24"/>
        </w:rPr>
      </w:pPr>
      <w:r w:rsidRPr="00FE4290">
        <w:rPr>
          <w:bCs/>
          <w:i/>
          <w:sz w:val="24"/>
          <w:szCs w:val="24"/>
        </w:rPr>
        <w:t>Proces należytej staranności w zakresie praw człowieka</w:t>
      </w:r>
    </w:p>
    <w:p w:rsidR="00591EC1" w:rsidRPr="00A42E41" w:rsidRDefault="00591EC1" w:rsidP="00E7396B">
      <w:pPr>
        <w:pStyle w:val="Akapitzlist"/>
        <w:numPr>
          <w:ilvl w:val="0"/>
          <w:numId w:val="19"/>
        </w:numPr>
        <w:spacing w:before="120" w:after="120" w:line="240" w:lineRule="auto"/>
        <w:ind w:left="567"/>
        <w:contextualSpacing w:val="0"/>
        <w:jc w:val="both"/>
        <w:rPr>
          <w:bCs/>
          <w:sz w:val="24"/>
          <w:szCs w:val="24"/>
        </w:rPr>
      </w:pPr>
      <w:r>
        <w:rPr>
          <w:bCs/>
          <w:sz w:val="24"/>
          <w:szCs w:val="24"/>
        </w:rPr>
        <w:t>W</w:t>
      </w:r>
      <w:r w:rsidRPr="00A42E41">
        <w:rPr>
          <w:bCs/>
          <w:sz w:val="24"/>
          <w:szCs w:val="24"/>
        </w:rPr>
        <w:t>śród polityk i procedur</w:t>
      </w:r>
      <w:r>
        <w:rPr>
          <w:bCs/>
          <w:sz w:val="24"/>
          <w:szCs w:val="24"/>
        </w:rPr>
        <w:t xml:space="preserve">, które przedsiębiorstwa </w:t>
      </w:r>
      <w:r w:rsidRPr="00A42E41">
        <w:rPr>
          <w:bCs/>
          <w:sz w:val="24"/>
          <w:szCs w:val="24"/>
        </w:rPr>
        <w:t>powinny wprowadzić</w:t>
      </w:r>
      <w:r>
        <w:rPr>
          <w:bCs/>
          <w:sz w:val="24"/>
          <w:szCs w:val="24"/>
        </w:rPr>
        <w:t>, aby wypełnić swe zobowiązania,</w:t>
      </w:r>
      <w:r w:rsidRPr="00A42E41">
        <w:rPr>
          <w:bCs/>
          <w:sz w:val="24"/>
          <w:szCs w:val="24"/>
        </w:rPr>
        <w:t xml:space="preserve"> Wytyczne ONZ wspominają proces należytej staranności w zakresie praw człowieka (oryg. „</w:t>
      </w:r>
      <w:proofErr w:type="spellStart"/>
      <w:r w:rsidRPr="00A42E41">
        <w:rPr>
          <w:bCs/>
          <w:sz w:val="24"/>
          <w:szCs w:val="24"/>
        </w:rPr>
        <w:t>human</w:t>
      </w:r>
      <w:proofErr w:type="spellEnd"/>
      <w:r w:rsidRPr="00A42E41">
        <w:rPr>
          <w:bCs/>
          <w:sz w:val="24"/>
          <w:szCs w:val="24"/>
        </w:rPr>
        <w:t xml:space="preserve"> </w:t>
      </w:r>
      <w:proofErr w:type="spellStart"/>
      <w:r w:rsidRPr="00A42E41">
        <w:rPr>
          <w:bCs/>
          <w:sz w:val="24"/>
          <w:szCs w:val="24"/>
        </w:rPr>
        <w:t>rights</w:t>
      </w:r>
      <w:proofErr w:type="spellEnd"/>
      <w:r w:rsidRPr="00A42E41">
        <w:rPr>
          <w:bCs/>
          <w:sz w:val="24"/>
          <w:szCs w:val="24"/>
        </w:rPr>
        <w:t xml:space="preserve"> </w:t>
      </w:r>
      <w:proofErr w:type="spellStart"/>
      <w:r w:rsidRPr="00A42E41">
        <w:rPr>
          <w:bCs/>
          <w:sz w:val="24"/>
          <w:szCs w:val="24"/>
        </w:rPr>
        <w:t>due</w:t>
      </w:r>
      <w:proofErr w:type="spellEnd"/>
      <w:r w:rsidRPr="00A42E41">
        <w:rPr>
          <w:bCs/>
          <w:sz w:val="24"/>
          <w:szCs w:val="24"/>
        </w:rPr>
        <w:t xml:space="preserve"> </w:t>
      </w:r>
      <w:proofErr w:type="spellStart"/>
      <w:r w:rsidRPr="00A42E41">
        <w:rPr>
          <w:bCs/>
          <w:sz w:val="24"/>
          <w:szCs w:val="24"/>
        </w:rPr>
        <w:t>diligence</w:t>
      </w:r>
      <w:proofErr w:type="spellEnd"/>
      <w:r w:rsidRPr="00A42E41">
        <w:rPr>
          <w:bCs/>
          <w:sz w:val="24"/>
          <w:szCs w:val="24"/>
        </w:rPr>
        <w:t xml:space="preserve"> </w:t>
      </w:r>
      <w:proofErr w:type="spellStart"/>
      <w:r w:rsidRPr="00A42E41">
        <w:rPr>
          <w:bCs/>
          <w:sz w:val="24"/>
          <w:szCs w:val="24"/>
        </w:rPr>
        <w:t>process</w:t>
      </w:r>
      <w:proofErr w:type="spellEnd"/>
      <w:r w:rsidRPr="00A42E41">
        <w:rPr>
          <w:bCs/>
          <w:sz w:val="24"/>
          <w:szCs w:val="24"/>
        </w:rPr>
        <w:t>”)</w:t>
      </w:r>
      <w:r>
        <w:rPr>
          <w:bCs/>
          <w:sz w:val="24"/>
          <w:szCs w:val="24"/>
        </w:rPr>
        <w:t>.</w:t>
      </w:r>
      <w:r w:rsidRPr="00A42E41">
        <w:rPr>
          <w:bCs/>
          <w:sz w:val="24"/>
          <w:szCs w:val="24"/>
        </w:rPr>
        <w:t xml:space="preserve"> </w:t>
      </w:r>
      <w:r>
        <w:rPr>
          <w:bCs/>
          <w:sz w:val="24"/>
          <w:szCs w:val="24"/>
        </w:rPr>
        <w:t xml:space="preserve">Jego </w:t>
      </w:r>
      <w:r w:rsidRPr="00A42E41">
        <w:rPr>
          <w:bCs/>
          <w:sz w:val="24"/>
          <w:szCs w:val="24"/>
        </w:rPr>
        <w:t>cel</w:t>
      </w:r>
      <w:r>
        <w:rPr>
          <w:bCs/>
          <w:sz w:val="24"/>
          <w:szCs w:val="24"/>
        </w:rPr>
        <w:t>em jest</w:t>
      </w:r>
      <w:r w:rsidRPr="00A42E41">
        <w:rPr>
          <w:bCs/>
          <w:sz w:val="24"/>
          <w:szCs w:val="24"/>
        </w:rPr>
        <w:t xml:space="preserve"> zidentyfikowanie możliwego negatywnego wpływu na prawa człowieka, zapobieganie</w:t>
      </w:r>
      <w:r>
        <w:rPr>
          <w:bCs/>
          <w:sz w:val="24"/>
          <w:szCs w:val="24"/>
        </w:rPr>
        <w:t xml:space="preserve"> mu,</w:t>
      </w:r>
      <w:r w:rsidRPr="00A42E41">
        <w:rPr>
          <w:bCs/>
          <w:sz w:val="24"/>
          <w:szCs w:val="24"/>
        </w:rPr>
        <w:t xml:space="preserve"> łagodzenie go oraz rozliczenie się </w:t>
      </w:r>
      <w:r w:rsidRPr="00FD5253">
        <w:rPr>
          <w:bCs/>
          <w:sz w:val="24"/>
          <w:szCs w:val="24"/>
        </w:rPr>
        <w:t>z tego, w jaki sposób przedsiębiorstwo stara się rozwiązać problem swojego negatywnego wpływu na prawa człowieka (zas</w:t>
      </w:r>
      <w:r w:rsidRPr="00A42E41">
        <w:rPr>
          <w:bCs/>
          <w:sz w:val="24"/>
          <w:szCs w:val="24"/>
        </w:rPr>
        <w:t>ada 15). Proces ten powinien obejmować analiz</w:t>
      </w:r>
      <w:r>
        <w:rPr>
          <w:bCs/>
          <w:sz w:val="24"/>
          <w:szCs w:val="24"/>
        </w:rPr>
        <w:t>ę</w:t>
      </w:r>
      <w:r w:rsidRPr="00A42E41">
        <w:rPr>
          <w:bCs/>
          <w:sz w:val="24"/>
          <w:szCs w:val="24"/>
        </w:rPr>
        <w:t xml:space="preserve"> rzeczywistego i potencjalnego negatywnego wpływu na prawa człowieka, zintegrowane uwzględnienie wyników analizy i podjęcie działań na ich podstawie, śledzenie reakcji na </w:t>
      </w:r>
      <w:r>
        <w:rPr>
          <w:bCs/>
          <w:sz w:val="24"/>
          <w:szCs w:val="24"/>
        </w:rPr>
        <w:t>podjęte</w:t>
      </w:r>
      <w:r w:rsidRPr="00A42E41">
        <w:rPr>
          <w:bCs/>
          <w:sz w:val="24"/>
          <w:szCs w:val="24"/>
        </w:rPr>
        <w:t xml:space="preserve"> działania oraz </w:t>
      </w:r>
      <w:r>
        <w:rPr>
          <w:bCs/>
          <w:sz w:val="24"/>
          <w:szCs w:val="24"/>
        </w:rPr>
        <w:t>informowanie o</w:t>
      </w:r>
      <w:r w:rsidRPr="00A42E41">
        <w:rPr>
          <w:bCs/>
          <w:sz w:val="24"/>
          <w:szCs w:val="24"/>
        </w:rPr>
        <w:t xml:space="preserve"> działania</w:t>
      </w:r>
      <w:r>
        <w:rPr>
          <w:bCs/>
          <w:sz w:val="24"/>
          <w:szCs w:val="24"/>
        </w:rPr>
        <w:t>ch</w:t>
      </w:r>
      <w:r w:rsidRPr="00A42E41">
        <w:rPr>
          <w:bCs/>
          <w:sz w:val="24"/>
          <w:szCs w:val="24"/>
        </w:rPr>
        <w:t xml:space="preserve"> </w:t>
      </w:r>
      <w:r>
        <w:rPr>
          <w:bCs/>
          <w:sz w:val="24"/>
          <w:szCs w:val="24"/>
        </w:rPr>
        <w:t>zaradczych</w:t>
      </w:r>
      <w:r w:rsidRPr="00A42E41">
        <w:rPr>
          <w:bCs/>
          <w:sz w:val="24"/>
          <w:szCs w:val="24"/>
        </w:rPr>
        <w:t xml:space="preserve"> przedsiębiorstw</w:t>
      </w:r>
      <w:r>
        <w:rPr>
          <w:bCs/>
          <w:sz w:val="24"/>
          <w:szCs w:val="24"/>
        </w:rPr>
        <w:t xml:space="preserve">a </w:t>
      </w:r>
      <w:r w:rsidRPr="00A42E41">
        <w:rPr>
          <w:bCs/>
          <w:sz w:val="24"/>
          <w:szCs w:val="24"/>
        </w:rPr>
        <w:t xml:space="preserve">(zasada 17). </w:t>
      </w:r>
      <w:r>
        <w:rPr>
          <w:bCs/>
          <w:sz w:val="24"/>
          <w:szCs w:val="24"/>
        </w:rPr>
        <w:t>Złożoność procesu n</w:t>
      </w:r>
      <w:r w:rsidRPr="00A42E41">
        <w:rPr>
          <w:bCs/>
          <w:sz w:val="24"/>
          <w:szCs w:val="24"/>
        </w:rPr>
        <w:t>ależyt</w:t>
      </w:r>
      <w:r>
        <w:rPr>
          <w:bCs/>
          <w:sz w:val="24"/>
          <w:szCs w:val="24"/>
        </w:rPr>
        <w:t>ej</w:t>
      </w:r>
      <w:r w:rsidRPr="00A42E41">
        <w:rPr>
          <w:bCs/>
          <w:sz w:val="24"/>
          <w:szCs w:val="24"/>
        </w:rPr>
        <w:t xml:space="preserve"> staranność w zakresie praw człowieka będzie się</w:t>
      </w:r>
      <w:r>
        <w:rPr>
          <w:bCs/>
          <w:sz w:val="24"/>
          <w:szCs w:val="24"/>
        </w:rPr>
        <w:t xml:space="preserve"> wprawdzie</w:t>
      </w:r>
      <w:r w:rsidRPr="00A42E41">
        <w:rPr>
          <w:bCs/>
          <w:sz w:val="24"/>
          <w:szCs w:val="24"/>
        </w:rPr>
        <w:t xml:space="preserve"> różnić w zależności od wielkości, branży, kontekstu działalności,</w:t>
      </w:r>
      <w:r w:rsidRPr="00A42E41">
        <w:rPr>
          <w:sz w:val="24"/>
          <w:szCs w:val="24"/>
        </w:rPr>
        <w:t xml:space="preserve"> </w:t>
      </w:r>
      <w:r>
        <w:rPr>
          <w:sz w:val="24"/>
          <w:szCs w:val="24"/>
        </w:rPr>
        <w:t xml:space="preserve">stosunków </w:t>
      </w:r>
      <w:r w:rsidRPr="00A42E41">
        <w:rPr>
          <w:bCs/>
          <w:sz w:val="24"/>
          <w:szCs w:val="24"/>
        </w:rPr>
        <w:t>własności</w:t>
      </w:r>
      <w:r>
        <w:rPr>
          <w:bCs/>
          <w:sz w:val="24"/>
          <w:szCs w:val="24"/>
        </w:rPr>
        <w:t>owych</w:t>
      </w:r>
      <w:r w:rsidRPr="00A42E41">
        <w:rPr>
          <w:bCs/>
          <w:sz w:val="24"/>
          <w:szCs w:val="24"/>
        </w:rPr>
        <w:t xml:space="preserve"> i struktury przedsiębiorstwa</w:t>
      </w:r>
      <w:r>
        <w:rPr>
          <w:bCs/>
          <w:sz w:val="24"/>
          <w:szCs w:val="24"/>
        </w:rPr>
        <w:t>, zakłada się jednak, że jest to</w:t>
      </w:r>
      <w:r w:rsidRPr="00A42E41">
        <w:rPr>
          <w:bCs/>
          <w:sz w:val="24"/>
          <w:szCs w:val="24"/>
        </w:rPr>
        <w:t xml:space="preserve"> działanie ciągł</w:t>
      </w:r>
      <w:r>
        <w:rPr>
          <w:bCs/>
          <w:sz w:val="24"/>
          <w:szCs w:val="24"/>
        </w:rPr>
        <w:t>e</w:t>
      </w:r>
      <w:r w:rsidRPr="00A42E41">
        <w:rPr>
          <w:bCs/>
          <w:sz w:val="24"/>
          <w:szCs w:val="24"/>
        </w:rPr>
        <w:t xml:space="preserve"> (zasada 17 a. i b.), które wykorzystuje wiedzę ekspercką w zakresie praw człowieka i obejmuje rzetelne konsultacje z grupami potencjalnie dotkniętymi takim wpływem i inny</w:t>
      </w:r>
      <w:r>
        <w:rPr>
          <w:bCs/>
          <w:sz w:val="24"/>
          <w:szCs w:val="24"/>
        </w:rPr>
        <w:t>mi</w:t>
      </w:r>
      <w:r w:rsidRPr="00A42E41">
        <w:rPr>
          <w:bCs/>
          <w:sz w:val="24"/>
          <w:szCs w:val="24"/>
        </w:rPr>
        <w:t xml:space="preserve"> zainteresowany</w:t>
      </w:r>
      <w:r>
        <w:rPr>
          <w:bCs/>
          <w:sz w:val="24"/>
          <w:szCs w:val="24"/>
        </w:rPr>
        <w:t>mi</w:t>
      </w:r>
      <w:r w:rsidRPr="00A42E41">
        <w:rPr>
          <w:bCs/>
          <w:sz w:val="24"/>
          <w:szCs w:val="24"/>
        </w:rPr>
        <w:t xml:space="preserve"> stron</w:t>
      </w:r>
      <w:r>
        <w:rPr>
          <w:bCs/>
          <w:sz w:val="24"/>
          <w:szCs w:val="24"/>
        </w:rPr>
        <w:t>ami</w:t>
      </w:r>
      <w:r w:rsidRPr="00A42E41">
        <w:rPr>
          <w:bCs/>
          <w:sz w:val="24"/>
          <w:szCs w:val="24"/>
        </w:rPr>
        <w:t xml:space="preserve"> (zasada 18 a. i b.). Wyniki oceny skutków wpływu powinny być zintegrowane i </w:t>
      </w:r>
      <w:r>
        <w:rPr>
          <w:bCs/>
          <w:sz w:val="24"/>
          <w:szCs w:val="24"/>
        </w:rPr>
        <w:t>prowadzić do</w:t>
      </w:r>
      <w:r w:rsidRPr="00A42E41">
        <w:rPr>
          <w:bCs/>
          <w:sz w:val="24"/>
          <w:szCs w:val="24"/>
        </w:rPr>
        <w:t xml:space="preserve"> odpowiedni</w:t>
      </w:r>
      <w:r>
        <w:rPr>
          <w:bCs/>
          <w:sz w:val="24"/>
          <w:szCs w:val="24"/>
        </w:rPr>
        <w:t>ch</w:t>
      </w:r>
      <w:r w:rsidRPr="00A42E41">
        <w:rPr>
          <w:bCs/>
          <w:sz w:val="24"/>
          <w:szCs w:val="24"/>
        </w:rPr>
        <w:t xml:space="preserve"> działa</w:t>
      </w:r>
      <w:r>
        <w:rPr>
          <w:bCs/>
          <w:sz w:val="24"/>
          <w:szCs w:val="24"/>
        </w:rPr>
        <w:t>ń</w:t>
      </w:r>
      <w:r w:rsidRPr="00A42E41">
        <w:rPr>
          <w:bCs/>
          <w:sz w:val="24"/>
          <w:szCs w:val="24"/>
        </w:rPr>
        <w:t xml:space="preserve"> (zasada 19), a skuteczność </w:t>
      </w:r>
      <w:r>
        <w:rPr>
          <w:bCs/>
          <w:sz w:val="24"/>
          <w:szCs w:val="24"/>
        </w:rPr>
        <w:t>reakcji</w:t>
      </w:r>
      <w:r w:rsidRPr="00A42E41">
        <w:rPr>
          <w:bCs/>
          <w:sz w:val="24"/>
          <w:szCs w:val="24"/>
        </w:rPr>
        <w:t xml:space="preserve"> powinna być monitorowana (zasada 20). Przedsiębiorstwa powinny być przygotowane do przekaz</w:t>
      </w:r>
      <w:r>
        <w:rPr>
          <w:bCs/>
          <w:sz w:val="24"/>
          <w:szCs w:val="24"/>
        </w:rPr>
        <w:t>yw</w:t>
      </w:r>
      <w:r w:rsidRPr="00A42E41">
        <w:rPr>
          <w:bCs/>
          <w:sz w:val="24"/>
          <w:szCs w:val="24"/>
        </w:rPr>
        <w:t>ania swoich wyników na zewnątrz (zasada 21).</w:t>
      </w:r>
    </w:p>
    <w:p w:rsidR="00591EC1" w:rsidRPr="00A42E41" w:rsidRDefault="00591EC1" w:rsidP="00E7396B">
      <w:pPr>
        <w:pStyle w:val="Akapitzlist"/>
        <w:numPr>
          <w:ilvl w:val="0"/>
          <w:numId w:val="19"/>
        </w:numPr>
        <w:spacing w:before="120" w:after="120" w:line="240" w:lineRule="auto"/>
        <w:ind w:left="567"/>
        <w:contextualSpacing w:val="0"/>
        <w:jc w:val="both"/>
        <w:rPr>
          <w:bCs/>
          <w:sz w:val="24"/>
          <w:szCs w:val="24"/>
        </w:rPr>
      </w:pPr>
      <w:r w:rsidRPr="00A42E41">
        <w:rPr>
          <w:bCs/>
          <w:sz w:val="24"/>
          <w:szCs w:val="24"/>
        </w:rPr>
        <w:lastRenderedPageBreak/>
        <w:t xml:space="preserve">Zgodnie z </w:t>
      </w:r>
      <w:r w:rsidRPr="00A42E41">
        <w:rPr>
          <w:bCs/>
          <w:sz w:val="24"/>
          <w:szCs w:val="24"/>
          <w:u w:val="single"/>
        </w:rPr>
        <w:t>paragrafem 20 Rekomendacji</w:t>
      </w:r>
      <w:r w:rsidRPr="00A42E41">
        <w:rPr>
          <w:bCs/>
          <w:sz w:val="24"/>
          <w:szCs w:val="24"/>
        </w:rPr>
        <w:t xml:space="preserve"> państwa członkowskie powinny stosować takie środki, jakie mogą być konieczne, aby zachęcić</w:t>
      </w:r>
      <w:r>
        <w:rPr>
          <w:bCs/>
          <w:sz w:val="24"/>
          <w:szCs w:val="24"/>
        </w:rPr>
        <w:t xml:space="preserve"> przedsiębiorstwa do </w:t>
      </w:r>
      <w:r w:rsidRPr="00A42E41">
        <w:rPr>
          <w:bCs/>
          <w:sz w:val="24"/>
          <w:szCs w:val="24"/>
        </w:rPr>
        <w:t>należyt</w:t>
      </w:r>
      <w:r>
        <w:rPr>
          <w:bCs/>
          <w:sz w:val="24"/>
          <w:szCs w:val="24"/>
        </w:rPr>
        <w:t>ej</w:t>
      </w:r>
      <w:r w:rsidRPr="00A42E41">
        <w:rPr>
          <w:bCs/>
          <w:sz w:val="24"/>
          <w:szCs w:val="24"/>
        </w:rPr>
        <w:t xml:space="preserve"> staranność w zakresie praw człowieka</w:t>
      </w:r>
      <w:r>
        <w:rPr>
          <w:bCs/>
          <w:sz w:val="24"/>
          <w:szCs w:val="24"/>
        </w:rPr>
        <w:t xml:space="preserve"> </w:t>
      </w:r>
      <w:r w:rsidRPr="00A42E41">
        <w:rPr>
          <w:bCs/>
          <w:sz w:val="24"/>
          <w:szCs w:val="24"/>
        </w:rPr>
        <w:t>lub, w razie potrzeby, wymagać</w:t>
      </w:r>
      <w:r>
        <w:rPr>
          <w:bCs/>
          <w:sz w:val="24"/>
          <w:szCs w:val="24"/>
        </w:rPr>
        <w:t xml:space="preserve"> jej od nich. Wspomniane środki obejmują</w:t>
      </w:r>
      <w:r w:rsidRPr="00A42E41">
        <w:rPr>
          <w:bCs/>
          <w:sz w:val="24"/>
          <w:szCs w:val="24"/>
        </w:rPr>
        <w:t xml:space="preserve"> ocen</w:t>
      </w:r>
      <w:r>
        <w:rPr>
          <w:bCs/>
          <w:sz w:val="24"/>
          <w:szCs w:val="24"/>
        </w:rPr>
        <w:t>ę</w:t>
      </w:r>
      <w:r w:rsidRPr="00A42E41">
        <w:rPr>
          <w:bCs/>
          <w:sz w:val="24"/>
          <w:szCs w:val="24"/>
        </w:rPr>
        <w:t xml:space="preserve"> wpływu projektów na prawa człowieka stosownie do wielkości przedsiębiorstwa oraz charakteru i kontekstu jego działalności. Wydaje się właściwe, aby wprowadzić wym</w:t>
      </w:r>
      <w:r>
        <w:rPr>
          <w:bCs/>
          <w:sz w:val="24"/>
          <w:szCs w:val="24"/>
        </w:rPr>
        <w:t>óg</w:t>
      </w:r>
      <w:r w:rsidRPr="00A42E41">
        <w:rPr>
          <w:bCs/>
          <w:sz w:val="24"/>
          <w:szCs w:val="24"/>
        </w:rPr>
        <w:t xml:space="preserve">, </w:t>
      </w:r>
      <w:r>
        <w:rPr>
          <w:bCs/>
          <w:sz w:val="24"/>
          <w:szCs w:val="24"/>
        </w:rPr>
        <w:t xml:space="preserve">tam gdzie </w:t>
      </w:r>
      <w:r w:rsidRPr="00A42E41">
        <w:rPr>
          <w:bCs/>
          <w:sz w:val="24"/>
          <w:szCs w:val="24"/>
        </w:rPr>
        <w:t xml:space="preserve">państwa </w:t>
      </w:r>
      <w:r>
        <w:rPr>
          <w:bCs/>
          <w:sz w:val="24"/>
          <w:szCs w:val="24"/>
        </w:rPr>
        <w:t>są zobowiązane na mocy traktatów</w:t>
      </w:r>
      <w:r w:rsidRPr="00A42E41">
        <w:rPr>
          <w:bCs/>
          <w:sz w:val="24"/>
          <w:szCs w:val="24"/>
        </w:rPr>
        <w:t xml:space="preserve"> międzynarodowych</w:t>
      </w:r>
      <w:r>
        <w:rPr>
          <w:bCs/>
          <w:sz w:val="24"/>
          <w:szCs w:val="24"/>
        </w:rPr>
        <w:t>,</w:t>
      </w:r>
      <w:r w:rsidRPr="00A42E41">
        <w:rPr>
          <w:bCs/>
          <w:sz w:val="24"/>
          <w:szCs w:val="24"/>
        </w:rPr>
        <w:t xml:space="preserve"> </w:t>
      </w:r>
      <w:r>
        <w:rPr>
          <w:bCs/>
          <w:sz w:val="24"/>
          <w:szCs w:val="24"/>
        </w:rPr>
        <w:t xml:space="preserve">do </w:t>
      </w:r>
      <w:r w:rsidRPr="00A42E41">
        <w:rPr>
          <w:bCs/>
          <w:sz w:val="24"/>
          <w:szCs w:val="24"/>
        </w:rPr>
        <w:t>zapewnienia odpowiedzialności przedsiębiorstw za niektóre przestępstwa oraz wprowadz</w:t>
      </w:r>
      <w:r>
        <w:rPr>
          <w:bCs/>
          <w:sz w:val="24"/>
          <w:szCs w:val="24"/>
        </w:rPr>
        <w:t>enia</w:t>
      </w:r>
      <w:r w:rsidRPr="00A42E41">
        <w:rPr>
          <w:bCs/>
          <w:sz w:val="24"/>
          <w:szCs w:val="24"/>
        </w:rPr>
        <w:t xml:space="preserve"> na szczeblu krajowym o</w:t>
      </w:r>
      <w:r>
        <w:rPr>
          <w:bCs/>
          <w:sz w:val="24"/>
          <w:szCs w:val="24"/>
        </w:rPr>
        <w:t>dpowiadającego mu</w:t>
      </w:r>
      <w:r w:rsidRPr="00A42E41">
        <w:rPr>
          <w:bCs/>
          <w:sz w:val="24"/>
          <w:szCs w:val="24"/>
        </w:rPr>
        <w:t xml:space="preserve"> obowiąz</w:t>
      </w:r>
      <w:r>
        <w:rPr>
          <w:bCs/>
          <w:sz w:val="24"/>
          <w:szCs w:val="24"/>
        </w:rPr>
        <w:t>ku</w:t>
      </w:r>
      <w:r w:rsidRPr="00A42E41">
        <w:rPr>
          <w:bCs/>
          <w:sz w:val="24"/>
          <w:szCs w:val="24"/>
        </w:rPr>
        <w:t xml:space="preserve"> „niezbędne</w:t>
      </w:r>
      <w:r>
        <w:rPr>
          <w:bCs/>
          <w:sz w:val="24"/>
          <w:szCs w:val="24"/>
        </w:rPr>
        <w:t>go</w:t>
      </w:r>
      <w:r w:rsidRPr="00A42E41">
        <w:rPr>
          <w:bCs/>
          <w:sz w:val="24"/>
          <w:szCs w:val="24"/>
        </w:rPr>
        <w:t xml:space="preserve"> działania dla zapewnienia, </w:t>
      </w:r>
      <w:r>
        <w:rPr>
          <w:bCs/>
          <w:sz w:val="24"/>
          <w:szCs w:val="24"/>
        </w:rPr>
        <w:t>aby</w:t>
      </w:r>
      <w:r w:rsidRPr="00A42E41">
        <w:rPr>
          <w:bCs/>
          <w:sz w:val="24"/>
          <w:szCs w:val="24"/>
        </w:rPr>
        <w:t xml:space="preserve"> osoba prawna mogła zostać pociągnięta do odpowiedzialności wtedy, gdy brak nadzoru lub kontroli (…) umożliwił popełnienie przestępstwa (…) na korzyść tejże osoby prawnej przez osobę fizyczną działającą w ramach przysługujących jej uprawnień” (art. 22 ust. 2 Konwencji w sprawie działań przeciwko handlowi ludźmi, art. 26 ust.</w:t>
      </w:r>
      <w:r>
        <w:rPr>
          <w:bCs/>
          <w:sz w:val="24"/>
          <w:szCs w:val="24"/>
        </w:rPr>
        <w:t xml:space="preserve"> </w:t>
      </w:r>
      <w:r w:rsidRPr="00A42E41">
        <w:rPr>
          <w:bCs/>
          <w:sz w:val="24"/>
          <w:szCs w:val="24"/>
        </w:rPr>
        <w:t xml:space="preserve">2 Konwencji o ochronie dzieci przed seksualnym wykorzystywaniem i niegodziwym traktowaniem w celach seksualnych). Wprowadzenie wymogu może być również właściwe, gdy charakter i kontekst przedsiębiorstwa </w:t>
      </w:r>
      <w:r>
        <w:rPr>
          <w:bCs/>
          <w:sz w:val="24"/>
          <w:szCs w:val="24"/>
        </w:rPr>
        <w:t>wskazują na</w:t>
      </w:r>
      <w:r w:rsidRPr="00A42E41">
        <w:rPr>
          <w:bCs/>
          <w:sz w:val="24"/>
          <w:szCs w:val="24"/>
        </w:rPr>
        <w:t xml:space="preserve"> sektor</w:t>
      </w:r>
      <w:r>
        <w:rPr>
          <w:bCs/>
          <w:sz w:val="24"/>
          <w:szCs w:val="24"/>
        </w:rPr>
        <w:t>y</w:t>
      </w:r>
      <w:r w:rsidRPr="00A42E41">
        <w:rPr>
          <w:bCs/>
          <w:sz w:val="24"/>
          <w:szCs w:val="24"/>
        </w:rPr>
        <w:t xml:space="preserve"> o szczególnym zagrożeniu dla praw człowieka, </w:t>
      </w:r>
      <w:r>
        <w:rPr>
          <w:bCs/>
          <w:sz w:val="24"/>
          <w:szCs w:val="24"/>
        </w:rPr>
        <w:t>w sytuacji</w:t>
      </w:r>
      <w:r w:rsidRPr="00A42E41">
        <w:rPr>
          <w:bCs/>
          <w:sz w:val="24"/>
          <w:szCs w:val="24"/>
        </w:rPr>
        <w:t xml:space="preserve"> potencjalnego negatywnego wpływu</w:t>
      </w:r>
      <w:r w:rsidRPr="00A42E41">
        <w:rPr>
          <w:sz w:val="24"/>
          <w:szCs w:val="24"/>
        </w:rPr>
        <w:t xml:space="preserve"> </w:t>
      </w:r>
      <w:r w:rsidRPr="00A42E41">
        <w:rPr>
          <w:bCs/>
          <w:sz w:val="24"/>
          <w:szCs w:val="24"/>
        </w:rPr>
        <w:t>działalności gospodarczej na prawa człowieka</w:t>
      </w:r>
      <w:r>
        <w:rPr>
          <w:bCs/>
          <w:sz w:val="24"/>
          <w:szCs w:val="24"/>
        </w:rPr>
        <w:t>,</w:t>
      </w:r>
      <w:r w:rsidRPr="00A42E41">
        <w:rPr>
          <w:bCs/>
          <w:sz w:val="24"/>
          <w:szCs w:val="24"/>
        </w:rPr>
        <w:t xml:space="preserve"> </w:t>
      </w:r>
      <w:r>
        <w:rPr>
          <w:bCs/>
          <w:sz w:val="24"/>
          <w:szCs w:val="24"/>
        </w:rPr>
        <w:t>w odniesieniu do</w:t>
      </w:r>
      <w:r w:rsidRPr="00A42E41">
        <w:rPr>
          <w:bCs/>
          <w:sz w:val="24"/>
          <w:szCs w:val="24"/>
        </w:rPr>
        <w:t xml:space="preserve"> przedsiębiorstw prowadząc</w:t>
      </w:r>
      <w:r>
        <w:rPr>
          <w:bCs/>
          <w:sz w:val="24"/>
          <w:szCs w:val="24"/>
        </w:rPr>
        <w:t>ych</w:t>
      </w:r>
      <w:r w:rsidRPr="00A42E41">
        <w:rPr>
          <w:bCs/>
          <w:sz w:val="24"/>
          <w:szCs w:val="24"/>
        </w:rPr>
        <w:t xml:space="preserve"> działalność na obszarach dotkniętych konfliktami lub wysokiego ryzyka lub w innych kontekstach, które stwarzają poważne zagrożenie dla praw człowieka. W przypadku przedsiębiorstw mających siedzibę w obrębie jurysdykcji państwa członkowskiego Rady Europy </w:t>
      </w:r>
      <w:r w:rsidRPr="007F1000">
        <w:rPr>
          <w:bCs/>
          <w:sz w:val="24"/>
          <w:szCs w:val="24"/>
          <w:u w:val="single"/>
        </w:rPr>
        <w:t>paragraf 20 Rekomendacji</w:t>
      </w:r>
      <w:r w:rsidRPr="00A42E41">
        <w:rPr>
          <w:bCs/>
          <w:sz w:val="24"/>
          <w:szCs w:val="24"/>
        </w:rPr>
        <w:t xml:space="preserve"> powinien mieć zastosowanie we wszystkich obszarach ich działalności (</w:t>
      </w:r>
      <w:r>
        <w:rPr>
          <w:bCs/>
          <w:sz w:val="24"/>
          <w:szCs w:val="24"/>
          <w:u w:val="single"/>
        </w:rPr>
        <w:t>paragraf</w:t>
      </w:r>
      <w:r w:rsidRPr="007F1000">
        <w:rPr>
          <w:bCs/>
          <w:sz w:val="24"/>
          <w:szCs w:val="24"/>
          <w:u w:val="single"/>
        </w:rPr>
        <w:t xml:space="preserve"> 20 </w:t>
      </w:r>
      <w:r w:rsidRPr="007F1000">
        <w:rPr>
          <w:bCs/>
          <w:sz w:val="24"/>
          <w:szCs w:val="24"/>
        </w:rPr>
        <w:t>punkt pierwszy</w:t>
      </w:r>
      <w:r w:rsidRPr="00A42E41">
        <w:rPr>
          <w:bCs/>
          <w:sz w:val="24"/>
          <w:szCs w:val="24"/>
        </w:rPr>
        <w:t>). Dla przedsiębiorstw mających siedzibę poza Europą, które prowadzą znaczną część działalności w obrębie jurysdykcji państwa członkowskiego Rady Europy, wszelkie wymagania powinny mieć zastosowanie wyłącznie w odniesieniu do takich działań (</w:t>
      </w:r>
      <w:r w:rsidRPr="007F1000">
        <w:rPr>
          <w:bCs/>
          <w:sz w:val="24"/>
          <w:szCs w:val="24"/>
          <w:u w:val="single"/>
        </w:rPr>
        <w:t xml:space="preserve">paragraf 20 </w:t>
      </w:r>
      <w:r w:rsidRPr="007F1000">
        <w:rPr>
          <w:bCs/>
          <w:sz w:val="24"/>
          <w:szCs w:val="24"/>
        </w:rPr>
        <w:t>punkt drugi</w:t>
      </w:r>
      <w:r w:rsidRPr="00A42E41">
        <w:rPr>
          <w:bCs/>
          <w:sz w:val="24"/>
          <w:szCs w:val="24"/>
        </w:rPr>
        <w:t>). Rekomendacja nie ma na celu zdefiniowania należytej staranności</w:t>
      </w:r>
      <w:r w:rsidRPr="00A42E41">
        <w:rPr>
          <w:sz w:val="24"/>
          <w:szCs w:val="24"/>
        </w:rPr>
        <w:t xml:space="preserve"> w zakresie </w:t>
      </w:r>
      <w:r w:rsidRPr="00A42E41">
        <w:rPr>
          <w:bCs/>
          <w:sz w:val="24"/>
          <w:szCs w:val="24"/>
        </w:rPr>
        <w:t>praw człowieka, ani nie precyzuje, czy w przypadku gdy państwa członkowskie podejmują środki ustawodawcze, aby wymóc w określonych okolicznościach należytą staranność w zakresie praw człowieka, środki te powinny być szczegółowo opracowane lub włączone do prawa handlowego lub cywilnego. Kilka państw członkowskich</w:t>
      </w:r>
      <w:r w:rsidRPr="00A42E41">
        <w:rPr>
          <w:sz w:val="24"/>
          <w:szCs w:val="24"/>
        </w:rPr>
        <w:t xml:space="preserve"> </w:t>
      </w:r>
      <w:r w:rsidRPr="00A42E41">
        <w:rPr>
          <w:bCs/>
          <w:sz w:val="24"/>
          <w:szCs w:val="24"/>
        </w:rPr>
        <w:t xml:space="preserve">Rady Europy, które przyjęły już </w:t>
      </w:r>
      <w:r>
        <w:rPr>
          <w:bCs/>
          <w:sz w:val="24"/>
          <w:szCs w:val="24"/>
        </w:rPr>
        <w:t>K</w:t>
      </w:r>
      <w:r w:rsidRPr="00A42E41">
        <w:rPr>
          <w:bCs/>
          <w:sz w:val="24"/>
          <w:szCs w:val="24"/>
        </w:rPr>
        <w:t xml:space="preserve">rajowe </w:t>
      </w:r>
      <w:r>
        <w:rPr>
          <w:bCs/>
          <w:sz w:val="24"/>
          <w:szCs w:val="24"/>
        </w:rPr>
        <w:t>P</w:t>
      </w:r>
      <w:r w:rsidRPr="00A42E41">
        <w:rPr>
          <w:bCs/>
          <w:sz w:val="24"/>
          <w:szCs w:val="24"/>
        </w:rPr>
        <w:t xml:space="preserve">lany </w:t>
      </w:r>
      <w:r>
        <w:rPr>
          <w:bCs/>
          <w:sz w:val="24"/>
          <w:szCs w:val="24"/>
        </w:rPr>
        <w:t>D</w:t>
      </w:r>
      <w:r w:rsidRPr="00A42E41">
        <w:rPr>
          <w:bCs/>
          <w:sz w:val="24"/>
          <w:szCs w:val="24"/>
        </w:rPr>
        <w:t>ziałania</w:t>
      </w:r>
      <w:r>
        <w:rPr>
          <w:bCs/>
          <w:sz w:val="24"/>
          <w:szCs w:val="24"/>
        </w:rPr>
        <w:t>,</w:t>
      </w:r>
      <w:r w:rsidRPr="00A42E41">
        <w:rPr>
          <w:bCs/>
          <w:sz w:val="24"/>
          <w:szCs w:val="24"/>
        </w:rPr>
        <w:t xml:space="preserve"> przedstawiły środki</w:t>
      </w:r>
      <w:r>
        <w:rPr>
          <w:bCs/>
          <w:sz w:val="24"/>
          <w:szCs w:val="24"/>
        </w:rPr>
        <w:t>, które</w:t>
      </w:r>
      <w:r w:rsidRPr="00A42E41">
        <w:rPr>
          <w:bCs/>
          <w:sz w:val="24"/>
          <w:szCs w:val="24"/>
        </w:rPr>
        <w:t xml:space="preserve"> ułatwiają przedsiębiorstw</w:t>
      </w:r>
      <w:r>
        <w:rPr>
          <w:bCs/>
          <w:sz w:val="24"/>
          <w:szCs w:val="24"/>
        </w:rPr>
        <w:t>om</w:t>
      </w:r>
      <w:r w:rsidRPr="00A42E41">
        <w:rPr>
          <w:bCs/>
          <w:sz w:val="24"/>
          <w:szCs w:val="24"/>
        </w:rPr>
        <w:t xml:space="preserve"> dostęp do informacji </w:t>
      </w:r>
      <w:r w:rsidRPr="00A42E41">
        <w:rPr>
          <w:sz w:val="24"/>
          <w:szCs w:val="24"/>
        </w:rPr>
        <w:t xml:space="preserve">nt. </w:t>
      </w:r>
      <w:r w:rsidRPr="00A42E41">
        <w:rPr>
          <w:bCs/>
          <w:sz w:val="24"/>
          <w:szCs w:val="24"/>
        </w:rPr>
        <w:t xml:space="preserve">należytej staranności w zakresie praw człowieka, a także </w:t>
      </w:r>
      <w:r>
        <w:rPr>
          <w:bCs/>
          <w:sz w:val="24"/>
          <w:szCs w:val="24"/>
        </w:rPr>
        <w:t>służą jako źródło</w:t>
      </w:r>
      <w:r w:rsidRPr="00A42E41">
        <w:rPr>
          <w:bCs/>
          <w:sz w:val="24"/>
          <w:szCs w:val="24"/>
        </w:rPr>
        <w:t xml:space="preserve"> dalsz</w:t>
      </w:r>
      <w:r>
        <w:rPr>
          <w:bCs/>
          <w:sz w:val="24"/>
          <w:szCs w:val="24"/>
        </w:rPr>
        <w:t>ych</w:t>
      </w:r>
      <w:r w:rsidRPr="00A42E41">
        <w:rPr>
          <w:bCs/>
          <w:sz w:val="24"/>
          <w:szCs w:val="24"/>
        </w:rPr>
        <w:t xml:space="preserve"> wytyczn</w:t>
      </w:r>
      <w:r>
        <w:rPr>
          <w:bCs/>
          <w:sz w:val="24"/>
          <w:szCs w:val="24"/>
        </w:rPr>
        <w:t>ych</w:t>
      </w:r>
      <w:r w:rsidRPr="00A42E41">
        <w:rPr>
          <w:bCs/>
          <w:sz w:val="24"/>
          <w:szCs w:val="24"/>
        </w:rPr>
        <w:t xml:space="preserve"> </w:t>
      </w:r>
      <w:r>
        <w:rPr>
          <w:bCs/>
          <w:sz w:val="24"/>
          <w:szCs w:val="24"/>
        </w:rPr>
        <w:t>(</w:t>
      </w:r>
      <w:r w:rsidRPr="00A42E41">
        <w:rPr>
          <w:bCs/>
          <w:sz w:val="24"/>
          <w:szCs w:val="24"/>
        </w:rPr>
        <w:t>kontrole ryzyka, zestawy narzędzi lub specjalne informacje dotyczące odpowiednich rynków eksportowych</w:t>
      </w:r>
      <w:r>
        <w:rPr>
          <w:bCs/>
          <w:sz w:val="24"/>
          <w:szCs w:val="24"/>
        </w:rPr>
        <w:t>)</w:t>
      </w:r>
      <w:r w:rsidRPr="00A42E41">
        <w:rPr>
          <w:bCs/>
          <w:sz w:val="24"/>
          <w:szCs w:val="24"/>
        </w:rPr>
        <w:t>.</w:t>
      </w:r>
    </w:p>
    <w:p w:rsidR="00591EC1" w:rsidRPr="00A42E41" w:rsidRDefault="00591EC1" w:rsidP="00E7396B">
      <w:pPr>
        <w:pStyle w:val="Akapitzlist"/>
        <w:spacing w:before="120" w:after="120" w:line="240" w:lineRule="auto"/>
        <w:ind w:left="1080"/>
        <w:contextualSpacing w:val="0"/>
        <w:jc w:val="both"/>
        <w:rPr>
          <w:bCs/>
          <w:sz w:val="24"/>
          <w:szCs w:val="24"/>
        </w:rPr>
      </w:pPr>
    </w:p>
    <w:p w:rsidR="00591EC1" w:rsidRPr="00FE4290" w:rsidRDefault="00591EC1" w:rsidP="00E7396B">
      <w:pPr>
        <w:spacing w:before="120" w:after="120" w:line="240" w:lineRule="auto"/>
        <w:ind w:left="567"/>
        <w:jc w:val="both"/>
        <w:rPr>
          <w:bCs/>
          <w:i/>
          <w:sz w:val="24"/>
          <w:szCs w:val="24"/>
        </w:rPr>
      </w:pPr>
      <w:r w:rsidRPr="00FE4290">
        <w:rPr>
          <w:bCs/>
          <w:i/>
          <w:sz w:val="24"/>
          <w:szCs w:val="24"/>
        </w:rPr>
        <w:t>Sprawozdawczość dotycząca odpowiedzialności w zakresie praw człowieka</w:t>
      </w:r>
    </w:p>
    <w:p w:rsidR="00591EC1" w:rsidRPr="00A42E41" w:rsidRDefault="00591EC1" w:rsidP="00E7396B">
      <w:pPr>
        <w:pStyle w:val="Akapitzlist"/>
        <w:numPr>
          <w:ilvl w:val="0"/>
          <w:numId w:val="19"/>
        </w:numPr>
        <w:spacing w:before="120" w:after="120" w:line="240" w:lineRule="auto"/>
        <w:ind w:left="567"/>
        <w:contextualSpacing w:val="0"/>
        <w:jc w:val="both"/>
        <w:rPr>
          <w:bCs/>
          <w:sz w:val="24"/>
          <w:szCs w:val="24"/>
        </w:rPr>
      </w:pPr>
      <w:r w:rsidRPr="00A42E41">
        <w:rPr>
          <w:bCs/>
          <w:sz w:val="24"/>
          <w:szCs w:val="24"/>
          <w:u w:val="single"/>
        </w:rPr>
        <w:t>Paragraf 21 Rekomendacji</w:t>
      </w:r>
      <w:r w:rsidRPr="00A42E41">
        <w:rPr>
          <w:bCs/>
          <w:sz w:val="24"/>
          <w:szCs w:val="24"/>
        </w:rPr>
        <w:t xml:space="preserve"> stanowi, że państwa członkowskie powinny zachęcać przedsiębiorstw</w:t>
      </w:r>
      <w:r>
        <w:rPr>
          <w:bCs/>
          <w:sz w:val="24"/>
          <w:szCs w:val="24"/>
        </w:rPr>
        <w:t>a do</w:t>
      </w:r>
      <w:r w:rsidRPr="00A42E41">
        <w:rPr>
          <w:bCs/>
          <w:sz w:val="24"/>
          <w:szCs w:val="24"/>
        </w:rPr>
        <w:t xml:space="preserve"> większ</w:t>
      </w:r>
      <w:r>
        <w:rPr>
          <w:bCs/>
          <w:sz w:val="24"/>
          <w:szCs w:val="24"/>
        </w:rPr>
        <w:t>ej</w:t>
      </w:r>
      <w:r w:rsidRPr="00A42E41">
        <w:rPr>
          <w:bCs/>
          <w:sz w:val="24"/>
          <w:szCs w:val="24"/>
        </w:rPr>
        <w:t xml:space="preserve"> przejrzystość</w:t>
      </w:r>
      <w:r>
        <w:rPr>
          <w:bCs/>
          <w:sz w:val="24"/>
          <w:szCs w:val="24"/>
        </w:rPr>
        <w:t xml:space="preserve"> i w miarę potrzeby wymagać jej od nich.</w:t>
      </w:r>
      <w:r w:rsidRPr="00A42E41">
        <w:rPr>
          <w:bCs/>
          <w:sz w:val="24"/>
          <w:szCs w:val="24"/>
        </w:rPr>
        <w:t xml:space="preserve"> </w:t>
      </w:r>
      <w:r>
        <w:rPr>
          <w:bCs/>
          <w:sz w:val="24"/>
          <w:szCs w:val="24"/>
        </w:rPr>
        <w:t>W ten sposób poprawi się ich</w:t>
      </w:r>
      <w:r w:rsidRPr="00A42E41">
        <w:rPr>
          <w:bCs/>
          <w:sz w:val="24"/>
          <w:szCs w:val="24"/>
        </w:rPr>
        <w:t xml:space="preserve"> znaj</w:t>
      </w:r>
      <w:r>
        <w:rPr>
          <w:bCs/>
          <w:sz w:val="24"/>
          <w:szCs w:val="24"/>
        </w:rPr>
        <w:t>omość</w:t>
      </w:r>
      <w:r w:rsidRPr="00A42E41">
        <w:rPr>
          <w:bCs/>
          <w:sz w:val="24"/>
          <w:szCs w:val="24"/>
        </w:rPr>
        <w:t xml:space="preserve"> i przestrzega</w:t>
      </w:r>
      <w:r>
        <w:rPr>
          <w:bCs/>
          <w:sz w:val="24"/>
          <w:szCs w:val="24"/>
        </w:rPr>
        <w:t>nie</w:t>
      </w:r>
      <w:r w:rsidRPr="00A42E41">
        <w:rPr>
          <w:bCs/>
          <w:sz w:val="24"/>
          <w:szCs w:val="24"/>
        </w:rPr>
        <w:t xml:space="preserve"> praw człowieka (oryg. „</w:t>
      </w:r>
      <w:proofErr w:type="spellStart"/>
      <w:r w:rsidRPr="00A42E41">
        <w:rPr>
          <w:bCs/>
          <w:sz w:val="24"/>
          <w:szCs w:val="24"/>
        </w:rPr>
        <w:t>know</w:t>
      </w:r>
      <w:proofErr w:type="spellEnd"/>
      <w:r w:rsidRPr="00A42E41">
        <w:rPr>
          <w:bCs/>
          <w:sz w:val="24"/>
          <w:szCs w:val="24"/>
        </w:rPr>
        <w:t xml:space="preserve"> and show”)</w:t>
      </w:r>
      <w:r>
        <w:rPr>
          <w:bCs/>
          <w:sz w:val="24"/>
          <w:szCs w:val="24"/>
        </w:rPr>
        <w:t>, będą one także mogły</w:t>
      </w:r>
      <w:r w:rsidRPr="00A42E41">
        <w:rPr>
          <w:bCs/>
          <w:sz w:val="24"/>
          <w:szCs w:val="24"/>
        </w:rPr>
        <w:t xml:space="preserve"> inform</w:t>
      </w:r>
      <w:r>
        <w:rPr>
          <w:bCs/>
          <w:sz w:val="24"/>
          <w:szCs w:val="24"/>
        </w:rPr>
        <w:t>ować</w:t>
      </w:r>
      <w:r w:rsidRPr="00A42E41">
        <w:rPr>
          <w:bCs/>
          <w:sz w:val="24"/>
          <w:szCs w:val="24"/>
        </w:rPr>
        <w:t xml:space="preserve"> </w:t>
      </w:r>
      <w:r>
        <w:rPr>
          <w:bCs/>
          <w:sz w:val="24"/>
          <w:szCs w:val="24"/>
        </w:rPr>
        <w:t>o</w:t>
      </w:r>
      <w:r w:rsidRPr="00A42E41">
        <w:rPr>
          <w:bCs/>
          <w:sz w:val="24"/>
          <w:szCs w:val="24"/>
        </w:rPr>
        <w:t xml:space="preserve"> </w:t>
      </w:r>
      <w:r>
        <w:rPr>
          <w:bCs/>
          <w:sz w:val="24"/>
          <w:szCs w:val="24"/>
        </w:rPr>
        <w:t>swo</w:t>
      </w:r>
      <w:r w:rsidRPr="00A42E41">
        <w:rPr>
          <w:bCs/>
          <w:sz w:val="24"/>
          <w:szCs w:val="24"/>
        </w:rPr>
        <w:t xml:space="preserve">ich </w:t>
      </w:r>
      <w:r>
        <w:rPr>
          <w:bCs/>
          <w:sz w:val="24"/>
          <w:szCs w:val="24"/>
        </w:rPr>
        <w:t>wysiłkach</w:t>
      </w:r>
      <w:r w:rsidRPr="00A42E41">
        <w:rPr>
          <w:bCs/>
          <w:sz w:val="24"/>
          <w:szCs w:val="24"/>
        </w:rPr>
        <w:t xml:space="preserve"> dotyczących odpowiedzialności za poszanowanie praw człowieka. Rekomendacja przewiduje regularne przedstawianie powyższych informacji, pozwalając jednocześnie na przekaz</w:t>
      </w:r>
      <w:r>
        <w:rPr>
          <w:bCs/>
          <w:sz w:val="24"/>
          <w:szCs w:val="24"/>
        </w:rPr>
        <w:t>yw</w:t>
      </w:r>
      <w:r w:rsidRPr="00A42E41">
        <w:rPr>
          <w:bCs/>
          <w:sz w:val="24"/>
          <w:szCs w:val="24"/>
        </w:rPr>
        <w:t>anie dodatkowych informacji</w:t>
      </w:r>
      <w:r>
        <w:rPr>
          <w:bCs/>
          <w:sz w:val="24"/>
          <w:szCs w:val="24"/>
        </w:rPr>
        <w:t xml:space="preserve"> np.</w:t>
      </w:r>
      <w:r w:rsidRPr="00A42E41">
        <w:rPr>
          <w:bCs/>
          <w:sz w:val="24"/>
          <w:szCs w:val="24"/>
        </w:rPr>
        <w:t xml:space="preserve"> w odpowiedzi na konkretne wydarzenia, wniosk</w:t>
      </w:r>
      <w:r>
        <w:rPr>
          <w:bCs/>
          <w:sz w:val="24"/>
          <w:szCs w:val="24"/>
        </w:rPr>
        <w:t>i</w:t>
      </w:r>
      <w:r w:rsidRPr="00A42E41">
        <w:rPr>
          <w:bCs/>
          <w:sz w:val="24"/>
          <w:szCs w:val="24"/>
        </w:rPr>
        <w:t xml:space="preserve"> o udzielenie informacji lub zarzuty naruszenia praw człowieka. Informacja taka powinna</w:t>
      </w:r>
      <w:r>
        <w:rPr>
          <w:bCs/>
          <w:sz w:val="24"/>
          <w:szCs w:val="24"/>
        </w:rPr>
        <w:t xml:space="preserve"> określać, w</w:t>
      </w:r>
      <w:r w:rsidRPr="00A42E41">
        <w:rPr>
          <w:bCs/>
          <w:sz w:val="24"/>
          <w:szCs w:val="24"/>
        </w:rPr>
        <w:t xml:space="preserve"> jak</w:t>
      </w:r>
      <w:r>
        <w:rPr>
          <w:bCs/>
          <w:sz w:val="24"/>
          <w:szCs w:val="24"/>
        </w:rPr>
        <w:t>i sposób wynikły</w:t>
      </w:r>
      <w:r w:rsidRPr="00A42E41">
        <w:rPr>
          <w:bCs/>
          <w:sz w:val="24"/>
          <w:szCs w:val="24"/>
        </w:rPr>
        <w:t xml:space="preserve"> obawy dotyczące praw człowieka, a także </w:t>
      </w:r>
      <w:r w:rsidRPr="00A42E41">
        <w:rPr>
          <w:bCs/>
          <w:sz w:val="24"/>
          <w:szCs w:val="24"/>
        </w:rPr>
        <w:lastRenderedPageBreak/>
        <w:t>jaki</w:t>
      </w:r>
      <w:r>
        <w:rPr>
          <w:bCs/>
          <w:sz w:val="24"/>
          <w:szCs w:val="24"/>
        </w:rPr>
        <w:t xml:space="preserve">e kroki zostały podjęte </w:t>
      </w:r>
      <w:r w:rsidRPr="00A42E41">
        <w:rPr>
          <w:bCs/>
          <w:sz w:val="24"/>
          <w:szCs w:val="24"/>
        </w:rPr>
        <w:t>przez zainteresowan</w:t>
      </w:r>
      <w:r>
        <w:rPr>
          <w:bCs/>
          <w:sz w:val="24"/>
          <w:szCs w:val="24"/>
        </w:rPr>
        <w:t>e</w:t>
      </w:r>
      <w:r w:rsidRPr="00A42E41">
        <w:rPr>
          <w:bCs/>
          <w:sz w:val="24"/>
          <w:szCs w:val="24"/>
        </w:rPr>
        <w:t xml:space="preserve"> stron</w:t>
      </w:r>
      <w:r>
        <w:rPr>
          <w:bCs/>
          <w:sz w:val="24"/>
          <w:szCs w:val="24"/>
        </w:rPr>
        <w:t xml:space="preserve">y lub w ich imieniu, aby im zaradzić </w:t>
      </w:r>
      <w:r w:rsidRPr="00A42E41">
        <w:rPr>
          <w:bCs/>
          <w:sz w:val="24"/>
          <w:szCs w:val="24"/>
        </w:rPr>
        <w:t>(zob. również kwestia</w:t>
      </w:r>
      <w:r>
        <w:rPr>
          <w:bCs/>
          <w:sz w:val="24"/>
          <w:szCs w:val="24"/>
        </w:rPr>
        <w:t xml:space="preserve"> „rzetelnych konsultacji”</w:t>
      </w:r>
      <w:r w:rsidRPr="00A42E41">
        <w:rPr>
          <w:bCs/>
          <w:sz w:val="24"/>
          <w:szCs w:val="24"/>
        </w:rPr>
        <w:t xml:space="preserve"> w Wytycznych </w:t>
      </w:r>
      <w:r>
        <w:rPr>
          <w:bCs/>
          <w:sz w:val="24"/>
          <w:szCs w:val="24"/>
        </w:rPr>
        <w:t>ONZ, z</w:t>
      </w:r>
      <w:r w:rsidRPr="00A42E41">
        <w:rPr>
          <w:bCs/>
          <w:sz w:val="24"/>
          <w:szCs w:val="24"/>
        </w:rPr>
        <w:t xml:space="preserve">asada 18 b.). W tym celu niektóre państwa członkowskie Rady Europy przyjęły przepisy dotyczące sprawozdawczości, które zobowiązują duże przedsiębiorstwa do raportowania </w:t>
      </w:r>
      <w:r>
        <w:rPr>
          <w:bCs/>
          <w:sz w:val="24"/>
          <w:szCs w:val="24"/>
        </w:rPr>
        <w:t>na temat</w:t>
      </w:r>
      <w:r w:rsidRPr="00A42E41">
        <w:rPr>
          <w:bCs/>
          <w:sz w:val="24"/>
          <w:szCs w:val="24"/>
        </w:rPr>
        <w:t xml:space="preserve"> ich odpowiedzialności za poszanowanie praw człowieka</w:t>
      </w:r>
      <w:r>
        <w:rPr>
          <w:bCs/>
          <w:sz w:val="24"/>
          <w:szCs w:val="24"/>
        </w:rPr>
        <w:t>.</w:t>
      </w:r>
      <w:r w:rsidRPr="00A42E41">
        <w:rPr>
          <w:bCs/>
          <w:sz w:val="24"/>
          <w:szCs w:val="24"/>
        </w:rPr>
        <w:t xml:space="preserve"> </w:t>
      </w:r>
      <w:r>
        <w:rPr>
          <w:bCs/>
          <w:sz w:val="24"/>
          <w:szCs w:val="24"/>
        </w:rPr>
        <w:t>S</w:t>
      </w:r>
      <w:r w:rsidRPr="00A42E41">
        <w:rPr>
          <w:bCs/>
          <w:sz w:val="24"/>
          <w:szCs w:val="24"/>
        </w:rPr>
        <w:t xml:space="preserve">kutki tego prawnego obowiązku </w:t>
      </w:r>
      <w:r>
        <w:rPr>
          <w:bCs/>
          <w:sz w:val="24"/>
          <w:szCs w:val="24"/>
        </w:rPr>
        <w:t>były</w:t>
      </w:r>
      <w:r w:rsidRPr="00A42E41">
        <w:rPr>
          <w:bCs/>
          <w:sz w:val="24"/>
          <w:szCs w:val="24"/>
        </w:rPr>
        <w:t xml:space="preserve"> następnie</w:t>
      </w:r>
      <w:r>
        <w:rPr>
          <w:bCs/>
          <w:sz w:val="24"/>
          <w:szCs w:val="24"/>
        </w:rPr>
        <w:t xml:space="preserve"> przedmiotem</w:t>
      </w:r>
      <w:r w:rsidRPr="00A42E41">
        <w:rPr>
          <w:bCs/>
          <w:sz w:val="24"/>
          <w:szCs w:val="24"/>
        </w:rPr>
        <w:t xml:space="preserve"> </w:t>
      </w:r>
      <w:r>
        <w:rPr>
          <w:bCs/>
          <w:sz w:val="24"/>
          <w:szCs w:val="24"/>
        </w:rPr>
        <w:t>nadzoru</w:t>
      </w:r>
      <w:r w:rsidRPr="00A42E41">
        <w:rPr>
          <w:bCs/>
          <w:sz w:val="24"/>
          <w:szCs w:val="24"/>
        </w:rPr>
        <w:t xml:space="preserve"> i analiz </w:t>
      </w:r>
      <w:r>
        <w:rPr>
          <w:bCs/>
          <w:sz w:val="24"/>
          <w:szCs w:val="24"/>
        </w:rPr>
        <w:t xml:space="preserve">prowadzonych </w:t>
      </w:r>
      <w:r w:rsidRPr="00A42E41">
        <w:rPr>
          <w:bCs/>
          <w:sz w:val="24"/>
          <w:szCs w:val="24"/>
        </w:rPr>
        <w:t xml:space="preserve">w drodze corocznych </w:t>
      </w:r>
      <w:r>
        <w:rPr>
          <w:bCs/>
          <w:sz w:val="24"/>
          <w:szCs w:val="24"/>
        </w:rPr>
        <w:t>przeglądów. Inne</w:t>
      </w:r>
      <w:r w:rsidRPr="00A42E41">
        <w:rPr>
          <w:bCs/>
          <w:sz w:val="24"/>
          <w:szCs w:val="24"/>
        </w:rPr>
        <w:t xml:space="preserve"> państw</w:t>
      </w:r>
      <w:r>
        <w:rPr>
          <w:bCs/>
          <w:sz w:val="24"/>
          <w:szCs w:val="24"/>
        </w:rPr>
        <w:t>a</w:t>
      </w:r>
      <w:r w:rsidRPr="00A42E41">
        <w:rPr>
          <w:bCs/>
          <w:sz w:val="24"/>
          <w:szCs w:val="24"/>
        </w:rPr>
        <w:t xml:space="preserve"> czł</w:t>
      </w:r>
      <w:r>
        <w:rPr>
          <w:bCs/>
          <w:sz w:val="24"/>
          <w:szCs w:val="24"/>
        </w:rPr>
        <w:t>onkowskie</w:t>
      </w:r>
      <w:r w:rsidRPr="00A42E41">
        <w:rPr>
          <w:bCs/>
          <w:sz w:val="24"/>
          <w:szCs w:val="24"/>
        </w:rPr>
        <w:t>, które przyjęły już Krajowe Plany Działania</w:t>
      </w:r>
      <w:r>
        <w:rPr>
          <w:bCs/>
          <w:sz w:val="24"/>
          <w:szCs w:val="24"/>
        </w:rPr>
        <w:t>,</w:t>
      </w:r>
      <w:r w:rsidRPr="00A42E41">
        <w:rPr>
          <w:bCs/>
          <w:sz w:val="24"/>
          <w:szCs w:val="24"/>
        </w:rPr>
        <w:t xml:space="preserve"> wskazały na podjęte środki </w:t>
      </w:r>
      <w:proofErr w:type="spellStart"/>
      <w:r w:rsidRPr="00A42E41">
        <w:rPr>
          <w:bCs/>
          <w:sz w:val="24"/>
          <w:szCs w:val="24"/>
        </w:rPr>
        <w:t>nielegislacyjne</w:t>
      </w:r>
      <w:proofErr w:type="spellEnd"/>
      <w:r w:rsidRPr="00A42E41">
        <w:rPr>
          <w:bCs/>
          <w:sz w:val="24"/>
          <w:szCs w:val="24"/>
        </w:rPr>
        <w:t>, takie jak przyzna</w:t>
      </w:r>
      <w:r>
        <w:rPr>
          <w:bCs/>
          <w:sz w:val="24"/>
          <w:szCs w:val="24"/>
        </w:rPr>
        <w:t>wa</w:t>
      </w:r>
      <w:r w:rsidRPr="00A42E41">
        <w:rPr>
          <w:bCs/>
          <w:sz w:val="24"/>
          <w:szCs w:val="24"/>
        </w:rPr>
        <w:t>nie nagrody za najlepszą sprawozdawczość niefinansową przedsiębiorstwa.</w:t>
      </w:r>
    </w:p>
    <w:p w:rsidR="00591EC1" w:rsidRPr="00A42E41" w:rsidRDefault="00591EC1" w:rsidP="00E7396B">
      <w:pPr>
        <w:pStyle w:val="Akapitzlist"/>
        <w:numPr>
          <w:ilvl w:val="0"/>
          <w:numId w:val="19"/>
        </w:numPr>
        <w:spacing w:before="120" w:after="120" w:line="240" w:lineRule="auto"/>
        <w:ind w:left="567"/>
        <w:contextualSpacing w:val="0"/>
        <w:jc w:val="both"/>
        <w:rPr>
          <w:bCs/>
          <w:sz w:val="24"/>
          <w:szCs w:val="24"/>
        </w:rPr>
      </w:pPr>
      <w:r w:rsidRPr="00A42E41">
        <w:rPr>
          <w:bCs/>
          <w:sz w:val="24"/>
          <w:szCs w:val="24"/>
        </w:rPr>
        <w:t xml:space="preserve">Dla tych z państw członkowskich Rady Europy, które są </w:t>
      </w:r>
      <w:r>
        <w:rPr>
          <w:bCs/>
          <w:sz w:val="24"/>
          <w:szCs w:val="24"/>
        </w:rPr>
        <w:t>jednocześnie</w:t>
      </w:r>
      <w:r w:rsidRPr="00A42E41">
        <w:rPr>
          <w:bCs/>
          <w:sz w:val="24"/>
          <w:szCs w:val="24"/>
        </w:rPr>
        <w:t xml:space="preserve"> w UE (lub </w:t>
      </w:r>
      <w:r>
        <w:rPr>
          <w:bCs/>
          <w:sz w:val="24"/>
          <w:szCs w:val="24"/>
        </w:rPr>
        <w:t xml:space="preserve">w </w:t>
      </w:r>
      <w:r w:rsidRPr="00A42E41">
        <w:rPr>
          <w:bCs/>
          <w:sz w:val="24"/>
          <w:szCs w:val="24"/>
        </w:rPr>
        <w:t>Europejskim Obszarze Gospodarczym),</w:t>
      </w:r>
      <w:r>
        <w:rPr>
          <w:bCs/>
          <w:sz w:val="24"/>
          <w:szCs w:val="24"/>
        </w:rPr>
        <w:t xml:space="preserve"> szczególnie interesująca może być</w:t>
      </w:r>
      <w:r w:rsidRPr="00A42E41">
        <w:rPr>
          <w:bCs/>
          <w:sz w:val="24"/>
          <w:szCs w:val="24"/>
        </w:rPr>
        <w:t xml:space="preserve"> Dyrektywa 2014/95/UE w sprawie ujawniania informacji niefinansowych i informacji dotyczących różnorodności przez niektóre duże jednostki oraz grupy. Dyrektywa zmienia </w:t>
      </w:r>
      <w:r>
        <w:rPr>
          <w:bCs/>
          <w:sz w:val="24"/>
          <w:szCs w:val="24"/>
        </w:rPr>
        <w:t>D</w:t>
      </w:r>
      <w:r w:rsidRPr="00A42E41">
        <w:rPr>
          <w:bCs/>
          <w:sz w:val="24"/>
          <w:szCs w:val="24"/>
        </w:rPr>
        <w:t xml:space="preserve">yrektywę 2013/34/UE </w:t>
      </w:r>
      <w:proofErr w:type="spellStart"/>
      <w:r w:rsidRPr="00A42E41">
        <w:rPr>
          <w:bCs/>
          <w:sz w:val="24"/>
          <w:szCs w:val="24"/>
        </w:rPr>
        <w:t>ws</w:t>
      </w:r>
      <w:proofErr w:type="spellEnd"/>
      <w:r w:rsidRPr="00A42E41">
        <w:rPr>
          <w:bCs/>
          <w:sz w:val="24"/>
          <w:szCs w:val="24"/>
        </w:rPr>
        <w:t xml:space="preserve">. rocznych sprawozdań finansowych i wymaga od przedsiębiorstw objętych zakresem stosowania dyrektywy </w:t>
      </w:r>
      <w:r>
        <w:rPr>
          <w:bCs/>
          <w:sz w:val="24"/>
          <w:szCs w:val="24"/>
        </w:rPr>
        <w:t>ujawniania</w:t>
      </w:r>
      <w:r w:rsidRPr="00A42E41">
        <w:rPr>
          <w:bCs/>
          <w:sz w:val="24"/>
          <w:szCs w:val="24"/>
        </w:rPr>
        <w:t xml:space="preserve"> w</w:t>
      </w:r>
      <w:r>
        <w:rPr>
          <w:bCs/>
          <w:sz w:val="24"/>
          <w:szCs w:val="24"/>
        </w:rPr>
        <w:t xml:space="preserve"> –</w:t>
      </w:r>
      <w:r w:rsidRPr="00A42E41">
        <w:rPr>
          <w:bCs/>
          <w:sz w:val="24"/>
          <w:szCs w:val="24"/>
        </w:rPr>
        <w:t xml:space="preserve"> określonym zakresie – </w:t>
      </w:r>
      <w:r>
        <w:rPr>
          <w:bCs/>
          <w:sz w:val="24"/>
          <w:szCs w:val="24"/>
        </w:rPr>
        <w:t xml:space="preserve">ich </w:t>
      </w:r>
      <w:r w:rsidRPr="00A42E41">
        <w:rPr>
          <w:bCs/>
          <w:sz w:val="24"/>
          <w:szCs w:val="24"/>
        </w:rPr>
        <w:t>raportów z działalności (lub w oddzielnych sprawozdaniach) informacji na temat polityk, zagrożeń i skutków w odniesieniu do szeregu kwestii niefinansowych, wśród nich praw człowieka. Nowe przepisy będą miały zastosowanie tylko do niektórych dużych przedsiębiorstw zatrudniających ponad 500 pracowników.</w:t>
      </w:r>
      <w:r w:rsidRPr="00A42E41">
        <w:rPr>
          <w:sz w:val="24"/>
          <w:szCs w:val="24"/>
        </w:rPr>
        <w:t xml:space="preserve"> </w:t>
      </w:r>
      <w:r w:rsidRPr="00A42E41">
        <w:rPr>
          <w:bCs/>
          <w:sz w:val="24"/>
          <w:szCs w:val="24"/>
        </w:rPr>
        <w:t>Dyrektywa ma na celu pozostawienie przedsiębiorstwom znacznej elastyczności</w:t>
      </w:r>
      <w:r>
        <w:rPr>
          <w:bCs/>
          <w:sz w:val="24"/>
          <w:szCs w:val="24"/>
        </w:rPr>
        <w:t>, uzależniając od nich wybór</w:t>
      </w:r>
      <w:r w:rsidRPr="00A42E41">
        <w:rPr>
          <w:bCs/>
          <w:sz w:val="24"/>
          <w:szCs w:val="24"/>
        </w:rPr>
        <w:t xml:space="preserve"> najbardziej przydatn</w:t>
      </w:r>
      <w:r>
        <w:rPr>
          <w:bCs/>
          <w:sz w:val="24"/>
          <w:szCs w:val="24"/>
        </w:rPr>
        <w:t>ego sposobu ujawnienia informacji</w:t>
      </w:r>
      <w:r w:rsidRPr="00A42E41">
        <w:rPr>
          <w:bCs/>
          <w:sz w:val="24"/>
          <w:szCs w:val="24"/>
        </w:rPr>
        <w:t xml:space="preserve">. Dyrektywa weszła w życie z dniem 6 grudnia 2014 r., a państwa członkowskie mają dwa lata na jej transpozycję do prawa krajowego. </w:t>
      </w:r>
    </w:p>
    <w:p w:rsidR="00591EC1" w:rsidRPr="00A42E41" w:rsidRDefault="00591EC1" w:rsidP="00E7396B">
      <w:pPr>
        <w:pStyle w:val="Akapitzlist"/>
        <w:spacing w:before="120" w:after="120" w:line="240" w:lineRule="auto"/>
        <w:ind w:left="1080"/>
        <w:contextualSpacing w:val="0"/>
        <w:jc w:val="both"/>
        <w:rPr>
          <w:bCs/>
          <w:sz w:val="24"/>
          <w:szCs w:val="24"/>
        </w:rPr>
      </w:pPr>
    </w:p>
    <w:p w:rsidR="00591EC1" w:rsidRPr="00A42E41" w:rsidRDefault="00591EC1" w:rsidP="00E7396B">
      <w:pPr>
        <w:spacing w:before="120" w:after="120" w:line="240" w:lineRule="auto"/>
        <w:ind w:left="567"/>
        <w:jc w:val="both"/>
        <w:rPr>
          <w:bCs/>
          <w:i/>
          <w:sz w:val="24"/>
          <w:szCs w:val="24"/>
        </w:rPr>
      </w:pPr>
      <w:r w:rsidRPr="00A42E41">
        <w:rPr>
          <w:bCs/>
          <w:i/>
          <w:sz w:val="24"/>
          <w:szCs w:val="24"/>
        </w:rPr>
        <w:t>Styk państwa z biznesem</w:t>
      </w:r>
    </w:p>
    <w:p w:rsidR="00591EC1" w:rsidRPr="00A42E41" w:rsidRDefault="00591EC1" w:rsidP="00E7396B">
      <w:pPr>
        <w:pStyle w:val="Akapitzlist"/>
        <w:numPr>
          <w:ilvl w:val="0"/>
          <w:numId w:val="19"/>
        </w:numPr>
        <w:spacing w:before="120" w:after="120" w:line="240" w:lineRule="auto"/>
        <w:ind w:left="567"/>
        <w:contextualSpacing w:val="0"/>
        <w:jc w:val="both"/>
        <w:rPr>
          <w:bCs/>
          <w:sz w:val="24"/>
          <w:szCs w:val="24"/>
        </w:rPr>
      </w:pPr>
      <w:r w:rsidRPr="00A42E41">
        <w:rPr>
          <w:bCs/>
          <w:sz w:val="24"/>
          <w:szCs w:val="24"/>
        </w:rPr>
        <w:t>Wytyczne ONZ podkreślają, że to głównie na państwach spoczywają obowiązki</w:t>
      </w:r>
      <w:r>
        <w:rPr>
          <w:bCs/>
          <w:sz w:val="24"/>
          <w:szCs w:val="24"/>
        </w:rPr>
        <w:t xml:space="preserve"> </w:t>
      </w:r>
      <w:r w:rsidRPr="00A42E41">
        <w:rPr>
          <w:bCs/>
          <w:sz w:val="24"/>
          <w:szCs w:val="24"/>
        </w:rPr>
        <w:t xml:space="preserve">wynikające z międzynarodowych praw człowieka. </w:t>
      </w:r>
      <w:r>
        <w:rPr>
          <w:bCs/>
          <w:sz w:val="24"/>
          <w:szCs w:val="24"/>
        </w:rPr>
        <w:t>Tam, gdzie</w:t>
      </w:r>
      <w:r w:rsidRPr="00A42E41">
        <w:rPr>
          <w:bCs/>
          <w:sz w:val="24"/>
          <w:szCs w:val="24"/>
        </w:rPr>
        <w:t xml:space="preserve"> istnieje szczególny związek pomiędzy państwem i przedsiębiorstwem, państwo dysponuje</w:t>
      </w:r>
      <w:r>
        <w:rPr>
          <w:bCs/>
          <w:sz w:val="24"/>
          <w:szCs w:val="24"/>
        </w:rPr>
        <w:t xml:space="preserve"> zatem</w:t>
      </w:r>
      <w:r w:rsidRPr="00A42E41">
        <w:rPr>
          <w:bCs/>
          <w:sz w:val="24"/>
          <w:szCs w:val="24"/>
        </w:rPr>
        <w:t xml:space="preserve"> większą liczbą środków, aby zapewnić, że przedsiębiorstwa spełniają swoje zobowiązania w zakresie przestrzegania praw człowieka. To z kolei może uzasadniać</w:t>
      </w:r>
      <w:r>
        <w:rPr>
          <w:bCs/>
          <w:sz w:val="24"/>
          <w:szCs w:val="24"/>
        </w:rPr>
        <w:t xml:space="preserve"> dodatkowe kroki</w:t>
      </w:r>
      <w:r w:rsidRPr="00A42E41">
        <w:rPr>
          <w:bCs/>
          <w:sz w:val="24"/>
          <w:szCs w:val="24"/>
        </w:rPr>
        <w:t xml:space="preserve"> w celu zapewnienia ochrony przed naruszaniem praw człowieka przez przedsiębiorstwa, których działalność jest powiązana z państwem, zgodnie z </w:t>
      </w:r>
      <w:r>
        <w:rPr>
          <w:bCs/>
          <w:sz w:val="24"/>
          <w:szCs w:val="24"/>
        </w:rPr>
        <w:t>z</w:t>
      </w:r>
      <w:r w:rsidRPr="006F731E">
        <w:rPr>
          <w:bCs/>
          <w:sz w:val="24"/>
          <w:szCs w:val="24"/>
        </w:rPr>
        <w:t>asada</w:t>
      </w:r>
      <w:r>
        <w:rPr>
          <w:bCs/>
          <w:sz w:val="24"/>
          <w:szCs w:val="24"/>
        </w:rPr>
        <w:t>mi 4-</w:t>
      </w:r>
      <w:r w:rsidRPr="006F731E">
        <w:rPr>
          <w:bCs/>
          <w:sz w:val="24"/>
          <w:szCs w:val="24"/>
        </w:rPr>
        <w:t>6</w:t>
      </w:r>
      <w:r>
        <w:rPr>
          <w:bCs/>
          <w:sz w:val="24"/>
          <w:szCs w:val="24"/>
        </w:rPr>
        <w:t xml:space="preserve"> Wytycznych</w:t>
      </w:r>
      <w:r w:rsidRPr="00A42E41">
        <w:rPr>
          <w:bCs/>
          <w:sz w:val="24"/>
          <w:szCs w:val="24"/>
        </w:rPr>
        <w:t xml:space="preserve"> ONZ.</w:t>
      </w:r>
      <w:r w:rsidRPr="00A42E41">
        <w:rPr>
          <w:rStyle w:val="Odwoanieprzypisukocowego"/>
          <w:bCs/>
          <w:sz w:val="24"/>
          <w:szCs w:val="24"/>
        </w:rPr>
        <w:endnoteReference w:id="15"/>
      </w:r>
      <w:r>
        <w:rPr>
          <w:bCs/>
          <w:sz w:val="24"/>
          <w:szCs w:val="24"/>
        </w:rPr>
        <w:t xml:space="preserve"> Za p</w:t>
      </w:r>
      <w:r w:rsidRPr="00A42E41">
        <w:rPr>
          <w:bCs/>
          <w:sz w:val="24"/>
          <w:szCs w:val="24"/>
        </w:rPr>
        <w:t xml:space="preserve">rzykład </w:t>
      </w:r>
      <w:r>
        <w:rPr>
          <w:bCs/>
          <w:sz w:val="24"/>
          <w:szCs w:val="24"/>
        </w:rPr>
        <w:t>mogą służyć</w:t>
      </w:r>
      <w:r w:rsidRPr="00A42E41">
        <w:rPr>
          <w:bCs/>
          <w:sz w:val="24"/>
          <w:szCs w:val="24"/>
        </w:rPr>
        <w:t xml:space="preserve"> przedsiębiorstwa</w:t>
      </w:r>
      <w:r>
        <w:rPr>
          <w:bCs/>
          <w:sz w:val="24"/>
          <w:szCs w:val="24"/>
        </w:rPr>
        <w:t>, które należą do</w:t>
      </w:r>
      <w:r w:rsidRPr="00A42E41">
        <w:rPr>
          <w:bCs/>
          <w:sz w:val="24"/>
          <w:szCs w:val="24"/>
        </w:rPr>
        <w:t xml:space="preserve"> państwa lub</w:t>
      </w:r>
      <w:r>
        <w:rPr>
          <w:bCs/>
          <w:sz w:val="24"/>
          <w:szCs w:val="24"/>
        </w:rPr>
        <w:t xml:space="preserve"> są</w:t>
      </w:r>
      <w:r w:rsidRPr="00A42E41">
        <w:rPr>
          <w:bCs/>
          <w:sz w:val="24"/>
          <w:szCs w:val="24"/>
        </w:rPr>
        <w:t xml:space="preserve"> przez nie kontrolowane</w:t>
      </w:r>
      <w:r>
        <w:rPr>
          <w:bCs/>
          <w:sz w:val="24"/>
          <w:szCs w:val="24"/>
        </w:rPr>
        <w:t>; przedsiębiorstwa</w:t>
      </w:r>
      <w:r w:rsidRPr="00A42E41">
        <w:rPr>
          <w:bCs/>
          <w:sz w:val="24"/>
          <w:szCs w:val="24"/>
        </w:rPr>
        <w:t>, które korzystają z istotnego wsparcia lub usług instytucji państwowych (takich jak agencje udzielające kredytów eksportowych, rządowych ubezpieczeń inwestycji lub gwarancji</w:t>
      </w:r>
      <w:r>
        <w:rPr>
          <w:bCs/>
          <w:sz w:val="24"/>
          <w:szCs w:val="24"/>
        </w:rPr>
        <w:t>, z</w:t>
      </w:r>
      <w:r w:rsidRPr="00A42E41">
        <w:rPr>
          <w:bCs/>
          <w:sz w:val="24"/>
          <w:szCs w:val="24"/>
        </w:rPr>
        <w:t>asada 4);</w:t>
      </w:r>
      <w:r>
        <w:rPr>
          <w:bCs/>
          <w:sz w:val="24"/>
          <w:szCs w:val="24"/>
        </w:rPr>
        <w:t xml:space="preserve"> czy wreszcie przedsiębiorstwa,</w:t>
      </w:r>
      <w:r w:rsidRPr="00A42E41">
        <w:rPr>
          <w:bCs/>
          <w:sz w:val="24"/>
          <w:szCs w:val="24"/>
        </w:rPr>
        <w:t xml:space="preserve"> które uzyskały licencje eksportowe, zostały sprywatyzowane i świadczą usługi mogą</w:t>
      </w:r>
      <w:r>
        <w:rPr>
          <w:bCs/>
          <w:sz w:val="24"/>
          <w:szCs w:val="24"/>
        </w:rPr>
        <w:t>ce</w:t>
      </w:r>
      <w:r w:rsidRPr="00A42E41">
        <w:rPr>
          <w:bCs/>
          <w:sz w:val="24"/>
          <w:szCs w:val="24"/>
        </w:rPr>
        <w:t xml:space="preserve"> </w:t>
      </w:r>
      <w:r>
        <w:rPr>
          <w:bCs/>
          <w:sz w:val="24"/>
          <w:szCs w:val="24"/>
        </w:rPr>
        <w:t>mieć wpływ na prawa człowieka (z</w:t>
      </w:r>
      <w:r w:rsidRPr="00A42E41">
        <w:rPr>
          <w:bCs/>
          <w:sz w:val="24"/>
          <w:szCs w:val="24"/>
        </w:rPr>
        <w:t xml:space="preserve">asada 5). Innym przykładem są przedsiębiorstwa, z którymi państwa przeprowadzają transakcje handlowe </w:t>
      </w:r>
      <w:r>
        <w:rPr>
          <w:bCs/>
          <w:sz w:val="24"/>
          <w:szCs w:val="24"/>
        </w:rPr>
        <w:t>(z</w:t>
      </w:r>
      <w:r w:rsidRPr="00A42E41">
        <w:rPr>
          <w:bCs/>
          <w:sz w:val="24"/>
          <w:szCs w:val="24"/>
        </w:rPr>
        <w:t xml:space="preserve">asada 6). W świetle </w:t>
      </w:r>
      <w:r>
        <w:rPr>
          <w:bCs/>
          <w:sz w:val="24"/>
          <w:szCs w:val="24"/>
        </w:rPr>
        <w:t>z</w:t>
      </w:r>
      <w:r w:rsidRPr="00F64BA8">
        <w:rPr>
          <w:bCs/>
          <w:sz w:val="24"/>
          <w:szCs w:val="24"/>
        </w:rPr>
        <w:t xml:space="preserve">asad </w:t>
      </w:r>
      <w:r>
        <w:rPr>
          <w:bCs/>
          <w:sz w:val="24"/>
          <w:szCs w:val="24"/>
        </w:rPr>
        <w:t>4-</w:t>
      </w:r>
      <w:r w:rsidRPr="00F64BA8">
        <w:rPr>
          <w:bCs/>
          <w:sz w:val="24"/>
          <w:szCs w:val="24"/>
        </w:rPr>
        <w:t>6</w:t>
      </w:r>
      <w:r>
        <w:rPr>
          <w:bCs/>
          <w:sz w:val="24"/>
          <w:szCs w:val="24"/>
        </w:rPr>
        <w:t xml:space="preserve"> </w:t>
      </w:r>
      <w:r w:rsidRPr="00A42E41">
        <w:rPr>
          <w:bCs/>
          <w:sz w:val="24"/>
          <w:szCs w:val="24"/>
        </w:rPr>
        <w:t xml:space="preserve">Wytycznych ONZ </w:t>
      </w:r>
      <w:r w:rsidRPr="00F64BA8">
        <w:rPr>
          <w:bCs/>
          <w:sz w:val="24"/>
          <w:szCs w:val="24"/>
          <w:u w:val="single"/>
        </w:rPr>
        <w:t>paragraf 22 Rekomendacji</w:t>
      </w:r>
      <w:r w:rsidRPr="00A42E41">
        <w:rPr>
          <w:bCs/>
          <w:sz w:val="24"/>
          <w:szCs w:val="24"/>
        </w:rPr>
        <w:t xml:space="preserve"> </w:t>
      </w:r>
      <w:r>
        <w:rPr>
          <w:bCs/>
          <w:sz w:val="24"/>
          <w:szCs w:val="24"/>
        </w:rPr>
        <w:t>zaleca</w:t>
      </w:r>
      <w:r w:rsidRPr="00A42E41">
        <w:rPr>
          <w:bCs/>
          <w:sz w:val="24"/>
          <w:szCs w:val="24"/>
        </w:rPr>
        <w:t xml:space="preserve">, </w:t>
      </w:r>
      <w:r>
        <w:rPr>
          <w:bCs/>
          <w:sz w:val="24"/>
          <w:szCs w:val="24"/>
        </w:rPr>
        <w:t>aby</w:t>
      </w:r>
      <w:r w:rsidRPr="00A42E41">
        <w:rPr>
          <w:bCs/>
          <w:sz w:val="24"/>
          <w:szCs w:val="24"/>
        </w:rPr>
        <w:t xml:space="preserve"> państwa członkowskie podejmowa</w:t>
      </w:r>
      <w:r>
        <w:rPr>
          <w:bCs/>
          <w:sz w:val="24"/>
          <w:szCs w:val="24"/>
        </w:rPr>
        <w:t>ły</w:t>
      </w:r>
      <w:r w:rsidRPr="00A42E41">
        <w:rPr>
          <w:bCs/>
          <w:sz w:val="24"/>
          <w:szCs w:val="24"/>
        </w:rPr>
        <w:t xml:space="preserve"> dodatkowe kroki </w:t>
      </w:r>
      <w:r>
        <w:rPr>
          <w:bCs/>
          <w:sz w:val="24"/>
          <w:szCs w:val="24"/>
        </w:rPr>
        <w:t>w celu</w:t>
      </w:r>
      <w:r w:rsidRPr="00A42E41">
        <w:rPr>
          <w:bCs/>
          <w:sz w:val="24"/>
          <w:szCs w:val="24"/>
        </w:rPr>
        <w:t xml:space="preserve"> wym</w:t>
      </w:r>
      <w:r>
        <w:rPr>
          <w:bCs/>
          <w:sz w:val="24"/>
          <w:szCs w:val="24"/>
        </w:rPr>
        <w:t>uszenia na</w:t>
      </w:r>
      <w:r w:rsidRPr="00A42E41">
        <w:rPr>
          <w:bCs/>
          <w:sz w:val="24"/>
          <w:szCs w:val="24"/>
        </w:rPr>
        <w:t xml:space="preserve"> przedsiębiorstwach przestrzegani</w:t>
      </w:r>
      <w:r>
        <w:rPr>
          <w:bCs/>
          <w:sz w:val="24"/>
          <w:szCs w:val="24"/>
        </w:rPr>
        <w:t>a</w:t>
      </w:r>
      <w:r w:rsidRPr="00A42E41">
        <w:rPr>
          <w:bCs/>
          <w:sz w:val="24"/>
          <w:szCs w:val="24"/>
        </w:rPr>
        <w:t xml:space="preserve"> praw człowieka, </w:t>
      </w:r>
      <w:r>
        <w:rPr>
          <w:bCs/>
          <w:sz w:val="24"/>
          <w:szCs w:val="24"/>
        </w:rPr>
        <w:t>w tym w stosownych przypadkach</w:t>
      </w:r>
      <w:r w:rsidRPr="00A42E41">
        <w:rPr>
          <w:bCs/>
          <w:sz w:val="24"/>
          <w:szCs w:val="24"/>
        </w:rPr>
        <w:t xml:space="preserve"> wymóg zachowania należytej staranności w zakresie przestrzegania praw człowieka. Paragraf ten odzwierciedla również propozycje zawarte w Rezolucji Zgromadzenia Parlamentarnego</w:t>
      </w:r>
      <w:r>
        <w:rPr>
          <w:bCs/>
          <w:sz w:val="24"/>
          <w:szCs w:val="24"/>
        </w:rPr>
        <w:t xml:space="preserve"> nr</w:t>
      </w:r>
      <w:r w:rsidRPr="00A42E41">
        <w:rPr>
          <w:bCs/>
          <w:sz w:val="24"/>
          <w:szCs w:val="24"/>
        </w:rPr>
        <w:t xml:space="preserve"> 1757 (2010) dotyczącej praw człowieka i biznesu. Stanowi on </w:t>
      </w:r>
      <w:r>
        <w:rPr>
          <w:bCs/>
          <w:sz w:val="24"/>
          <w:szCs w:val="24"/>
        </w:rPr>
        <w:t>ponadto</w:t>
      </w:r>
      <w:r w:rsidRPr="00A42E41">
        <w:rPr>
          <w:bCs/>
          <w:sz w:val="24"/>
          <w:szCs w:val="24"/>
        </w:rPr>
        <w:t xml:space="preserve">, </w:t>
      </w:r>
      <w:r>
        <w:rPr>
          <w:bCs/>
          <w:sz w:val="24"/>
          <w:szCs w:val="24"/>
        </w:rPr>
        <w:t>aby</w:t>
      </w:r>
      <w:r w:rsidRPr="00A42E41">
        <w:rPr>
          <w:bCs/>
          <w:sz w:val="24"/>
          <w:szCs w:val="24"/>
        </w:rPr>
        <w:t xml:space="preserve"> państwa członkowskie ocenia</w:t>
      </w:r>
      <w:r>
        <w:rPr>
          <w:bCs/>
          <w:sz w:val="24"/>
          <w:szCs w:val="24"/>
        </w:rPr>
        <w:t>ły</w:t>
      </w:r>
      <w:r w:rsidRPr="00A42E41">
        <w:rPr>
          <w:bCs/>
          <w:sz w:val="24"/>
          <w:szCs w:val="24"/>
        </w:rPr>
        <w:t xml:space="preserve"> podjęte działania, gdy istnieje szczególny </w:t>
      </w:r>
      <w:r w:rsidRPr="00A42E41">
        <w:rPr>
          <w:bCs/>
          <w:sz w:val="24"/>
          <w:szCs w:val="24"/>
        </w:rPr>
        <w:lastRenderedPageBreak/>
        <w:t xml:space="preserve">związek z przedsiębiorstwem, i jeśli to konieczne </w:t>
      </w:r>
      <w:r>
        <w:rPr>
          <w:bCs/>
          <w:sz w:val="24"/>
          <w:szCs w:val="24"/>
        </w:rPr>
        <w:t>reagowały na</w:t>
      </w:r>
      <w:r w:rsidRPr="00A42E41">
        <w:rPr>
          <w:bCs/>
          <w:sz w:val="24"/>
          <w:szCs w:val="24"/>
        </w:rPr>
        <w:t xml:space="preserve"> nieprawidłowości. Może to obejmować </w:t>
      </w:r>
      <w:r>
        <w:rPr>
          <w:bCs/>
          <w:sz w:val="24"/>
          <w:szCs w:val="24"/>
        </w:rPr>
        <w:t>wyciąganie</w:t>
      </w:r>
      <w:r w:rsidRPr="00A42E41">
        <w:rPr>
          <w:bCs/>
          <w:sz w:val="24"/>
          <w:szCs w:val="24"/>
        </w:rPr>
        <w:t xml:space="preserve"> odpowiednich konsekwencji w przypadku nieprzestrzegania praw człowieka, </w:t>
      </w:r>
      <w:r>
        <w:rPr>
          <w:bCs/>
          <w:sz w:val="24"/>
          <w:szCs w:val="24"/>
        </w:rPr>
        <w:t>łącznie ze środkiem ostatecznym w postaci rozwiązywania</w:t>
      </w:r>
      <w:r w:rsidRPr="00A42E41">
        <w:rPr>
          <w:bCs/>
          <w:sz w:val="24"/>
          <w:szCs w:val="24"/>
        </w:rPr>
        <w:t xml:space="preserve"> um</w:t>
      </w:r>
      <w:r>
        <w:rPr>
          <w:bCs/>
          <w:sz w:val="24"/>
          <w:szCs w:val="24"/>
        </w:rPr>
        <w:t>ów</w:t>
      </w:r>
      <w:r w:rsidRPr="00A42E41">
        <w:rPr>
          <w:bCs/>
          <w:sz w:val="24"/>
          <w:szCs w:val="24"/>
        </w:rPr>
        <w:t xml:space="preserve"> o zamówienia publiczne.</w:t>
      </w:r>
    </w:p>
    <w:p w:rsidR="00591EC1" w:rsidRPr="00A42E41" w:rsidRDefault="00591EC1" w:rsidP="00E7396B">
      <w:pPr>
        <w:pStyle w:val="Akapitzlist"/>
        <w:numPr>
          <w:ilvl w:val="0"/>
          <w:numId w:val="19"/>
        </w:numPr>
        <w:spacing w:before="120" w:after="120" w:line="240" w:lineRule="auto"/>
        <w:ind w:left="567"/>
        <w:contextualSpacing w:val="0"/>
        <w:jc w:val="both"/>
        <w:rPr>
          <w:bCs/>
          <w:sz w:val="24"/>
          <w:szCs w:val="24"/>
        </w:rPr>
      </w:pPr>
      <w:r w:rsidRPr="00A42E41">
        <w:rPr>
          <w:bCs/>
          <w:sz w:val="24"/>
          <w:szCs w:val="24"/>
        </w:rPr>
        <w:t>Kilka państw członkowskich Rady Europy, które przyjęły już Krajowe Plany Działania</w:t>
      </w:r>
      <w:r>
        <w:rPr>
          <w:bCs/>
          <w:sz w:val="24"/>
          <w:szCs w:val="24"/>
        </w:rPr>
        <w:t>,</w:t>
      </w:r>
      <w:r w:rsidRPr="00A42E41">
        <w:rPr>
          <w:bCs/>
          <w:sz w:val="24"/>
          <w:szCs w:val="24"/>
        </w:rPr>
        <w:t xml:space="preserve"> uwzględniły kwestię styku państwa z biznesem, na przykład poprzez wprowadzenie specjalnej zrównoważonej polityki zamówień, która wymaga analizy ryzyka</w:t>
      </w:r>
      <w:r>
        <w:rPr>
          <w:bCs/>
          <w:sz w:val="24"/>
          <w:szCs w:val="24"/>
        </w:rPr>
        <w:t xml:space="preserve"> i w ten sposób</w:t>
      </w:r>
      <w:r w:rsidRPr="00A42E41">
        <w:rPr>
          <w:bCs/>
          <w:sz w:val="24"/>
          <w:szCs w:val="24"/>
        </w:rPr>
        <w:t xml:space="preserve"> pokaz</w:t>
      </w:r>
      <w:r>
        <w:rPr>
          <w:bCs/>
          <w:sz w:val="24"/>
          <w:szCs w:val="24"/>
        </w:rPr>
        <w:t>uje</w:t>
      </w:r>
      <w:r w:rsidRPr="00A42E41">
        <w:rPr>
          <w:bCs/>
          <w:sz w:val="24"/>
          <w:szCs w:val="24"/>
        </w:rPr>
        <w:t>, że instytucje rządowe</w:t>
      </w:r>
      <w:r>
        <w:rPr>
          <w:bCs/>
          <w:sz w:val="24"/>
          <w:szCs w:val="24"/>
        </w:rPr>
        <w:t xml:space="preserve"> zawierające umowy z przedsiębiorcami</w:t>
      </w:r>
      <w:r w:rsidRPr="00A42E41">
        <w:rPr>
          <w:bCs/>
          <w:sz w:val="24"/>
          <w:szCs w:val="24"/>
        </w:rPr>
        <w:t xml:space="preserve"> przestrzegają praw człowieka w zgodzie z Wytycznymi ONZ</w:t>
      </w:r>
      <w:r>
        <w:rPr>
          <w:bCs/>
          <w:sz w:val="24"/>
          <w:szCs w:val="24"/>
        </w:rPr>
        <w:t>. Do innych środków zawartych</w:t>
      </w:r>
      <w:r w:rsidRPr="00A42E41">
        <w:rPr>
          <w:bCs/>
          <w:sz w:val="24"/>
          <w:szCs w:val="24"/>
        </w:rPr>
        <w:t xml:space="preserve"> w Krajowych </w:t>
      </w:r>
      <w:r>
        <w:rPr>
          <w:bCs/>
          <w:sz w:val="24"/>
          <w:szCs w:val="24"/>
        </w:rPr>
        <w:t>Planach Działania należą:</w:t>
      </w:r>
      <w:r w:rsidRPr="00A42E41">
        <w:rPr>
          <w:bCs/>
          <w:sz w:val="24"/>
          <w:szCs w:val="24"/>
        </w:rPr>
        <w:t xml:space="preserve"> </w:t>
      </w:r>
      <w:r>
        <w:rPr>
          <w:bCs/>
          <w:sz w:val="24"/>
          <w:szCs w:val="24"/>
        </w:rPr>
        <w:t>nałożenie na</w:t>
      </w:r>
      <w:r w:rsidRPr="00A42E41">
        <w:rPr>
          <w:bCs/>
          <w:sz w:val="24"/>
          <w:szCs w:val="24"/>
        </w:rPr>
        <w:t xml:space="preserve"> przedsiębiorstw</w:t>
      </w:r>
      <w:r>
        <w:rPr>
          <w:bCs/>
          <w:sz w:val="24"/>
          <w:szCs w:val="24"/>
        </w:rPr>
        <w:t>a ustawowego wymogu informowani o</w:t>
      </w:r>
      <w:r w:rsidRPr="00C40653">
        <w:rPr>
          <w:bCs/>
          <w:sz w:val="24"/>
          <w:szCs w:val="24"/>
        </w:rPr>
        <w:t xml:space="preserve"> odpowiedzialności</w:t>
      </w:r>
      <w:r>
        <w:rPr>
          <w:bCs/>
          <w:sz w:val="24"/>
          <w:szCs w:val="24"/>
        </w:rPr>
        <w:t xml:space="preserve"> na tej podstawie</w:t>
      </w:r>
      <w:r w:rsidRPr="00C40653">
        <w:rPr>
          <w:bCs/>
          <w:sz w:val="24"/>
          <w:szCs w:val="24"/>
        </w:rPr>
        <w:t xml:space="preserve"> w przeglądach zarządczych </w:t>
      </w:r>
      <w:r>
        <w:rPr>
          <w:bCs/>
          <w:sz w:val="24"/>
          <w:szCs w:val="24"/>
        </w:rPr>
        <w:t>zawartych w</w:t>
      </w:r>
      <w:r w:rsidRPr="00C40653">
        <w:rPr>
          <w:bCs/>
          <w:sz w:val="24"/>
          <w:szCs w:val="24"/>
        </w:rPr>
        <w:t xml:space="preserve"> sprawozdaniach rocznych;</w:t>
      </w:r>
      <w:r w:rsidRPr="00A42E41">
        <w:rPr>
          <w:bCs/>
          <w:sz w:val="24"/>
          <w:szCs w:val="24"/>
        </w:rPr>
        <w:t xml:space="preserve"> </w:t>
      </w:r>
      <w:r w:rsidRPr="00CF313F">
        <w:rPr>
          <w:bCs/>
          <w:sz w:val="24"/>
          <w:szCs w:val="24"/>
        </w:rPr>
        <w:t>przystąpienie do zasad</w:t>
      </w:r>
      <w:r>
        <w:rPr>
          <w:bCs/>
          <w:sz w:val="24"/>
          <w:szCs w:val="24"/>
        </w:rPr>
        <w:t xml:space="preserve"> </w:t>
      </w:r>
      <w:r w:rsidRPr="00CF313F">
        <w:rPr>
          <w:bCs/>
          <w:sz w:val="24"/>
          <w:szCs w:val="24"/>
        </w:rPr>
        <w:t>UN Global Compact</w:t>
      </w:r>
      <w:r w:rsidRPr="00A42E41">
        <w:rPr>
          <w:bCs/>
          <w:sz w:val="24"/>
          <w:szCs w:val="24"/>
        </w:rPr>
        <w:t xml:space="preserve"> oraz Zasad odpowiedzialnego inwestowania; uwzględnieni</w:t>
      </w:r>
      <w:r>
        <w:rPr>
          <w:bCs/>
          <w:sz w:val="24"/>
          <w:szCs w:val="24"/>
        </w:rPr>
        <w:t>e</w:t>
      </w:r>
      <w:r w:rsidRPr="00A42E41">
        <w:rPr>
          <w:bCs/>
          <w:sz w:val="24"/>
          <w:szCs w:val="24"/>
        </w:rPr>
        <w:t xml:space="preserve"> potencjalnego wpływu na prawa człowieka w systemie </w:t>
      </w:r>
      <w:r>
        <w:rPr>
          <w:bCs/>
          <w:sz w:val="24"/>
          <w:szCs w:val="24"/>
        </w:rPr>
        <w:t>pozwoleń na wywóz</w:t>
      </w:r>
      <w:r w:rsidRPr="00A42E41">
        <w:rPr>
          <w:bCs/>
          <w:sz w:val="24"/>
          <w:szCs w:val="24"/>
        </w:rPr>
        <w:t>; uwzględnieni</w:t>
      </w:r>
      <w:r>
        <w:rPr>
          <w:bCs/>
          <w:sz w:val="24"/>
          <w:szCs w:val="24"/>
        </w:rPr>
        <w:t>e</w:t>
      </w:r>
      <w:r w:rsidRPr="00A42E41">
        <w:rPr>
          <w:bCs/>
          <w:sz w:val="24"/>
          <w:szCs w:val="24"/>
        </w:rPr>
        <w:t xml:space="preserve"> kwestii związanych z równością w </w:t>
      </w:r>
      <w:r>
        <w:rPr>
          <w:bCs/>
          <w:sz w:val="24"/>
          <w:szCs w:val="24"/>
        </w:rPr>
        <w:t>sferze</w:t>
      </w:r>
      <w:r w:rsidRPr="00A42E41">
        <w:rPr>
          <w:bCs/>
          <w:sz w:val="24"/>
          <w:szCs w:val="24"/>
        </w:rPr>
        <w:t xml:space="preserve"> zamówień</w:t>
      </w:r>
      <w:r>
        <w:rPr>
          <w:bCs/>
          <w:sz w:val="24"/>
          <w:szCs w:val="24"/>
        </w:rPr>
        <w:t xml:space="preserve"> państwowych</w:t>
      </w:r>
      <w:r w:rsidRPr="00A42E41">
        <w:rPr>
          <w:bCs/>
          <w:sz w:val="24"/>
          <w:szCs w:val="24"/>
        </w:rPr>
        <w:t>; publikacj</w:t>
      </w:r>
      <w:r>
        <w:rPr>
          <w:bCs/>
          <w:sz w:val="24"/>
          <w:szCs w:val="24"/>
        </w:rPr>
        <w:t>a</w:t>
      </w:r>
      <w:r w:rsidRPr="00A42E41">
        <w:rPr>
          <w:bCs/>
          <w:sz w:val="24"/>
          <w:szCs w:val="24"/>
        </w:rPr>
        <w:t xml:space="preserve"> zbioru wspólnych wytycznych dotyczących</w:t>
      </w:r>
      <w:r>
        <w:rPr>
          <w:bCs/>
          <w:sz w:val="24"/>
          <w:szCs w:val="24"/>
        </w:rPr>
        <w:t xml:space="preserve"> odpowiedzialnego</w:t>
      </w:r>
      <w:r w:rsidRPr="00A42E41">
        <w:rPr>
          <w:bCs/>
          <w:sz w:val="24"/>
          <w:szCs w:val="24"/>
        </w:rPr>
        <w:t xml:space="preserve"> udzielania zamówień w sektorze publicznym, we współpracy z miastami i innymi zainteresowanymi stronami, w tym wymog</w:t>
      </w:r>
      <w:r>
        <w:rPr>
          <w:bCs/>
          <w:sz w:val="24"/>
          <w:szCs w:val="24"/>
        </w:rPr>
        <w:t>ów</w:t>
      </w:r>
      <w:r w:rsidRPr="00A42E41">
        <w:rPr>
          <w:bCs/>
          <w:sz w:val="24"/>
          <w:szCs w:val="24"/>
        </w:rPr>
        <w:t xml:space="preserve"> dla</w:t>
      </w:r>
      <w:r>
        <w:rPr>
          <w:bCs/>
          <w:sz w:val="24"/>
          <w:szCs w:val="24"/>
        </w:rPr>
        <w:t xml:space="preserve"> </w:t>
      </w:r>
      <w:r w:rsidRPr="00A42E41">
        <w:rPr>
          <w:bCs/>
          <w:sz w:val="24"/>
          <w:szCs w:val="24"/>
        </w:rPr>
        <w:t>agencji udzielających kredytów eksportowych, które opisano w Zaleceniu OECD z 2012 r. nt. wspólnego podejścia; uwzględnieni</w:t>
      </w:r>
      <w:r>
        <w:rPr>
          <w:bCs/>
          <w:sz w:val="24"/>
          <w:szCs w:val="24"/>
        </w:rPr>
        <w:t>e „</w:t>
      </w:r>
      <w:r w:rsidRPr="00A42E41">
        <w:rPr>
          <w:bCs/>
          <w:sz w:val="24"/>
          <w:szCs w:val="24"/>
        </w:rPr>
        <w:t>istotnych niekorzystnych skutków</w:t>
      </w:r>
      <w:r>
        <w:rPr>
          <w:bCs/>
          <w:sz w:val="24"/>
          <w:szCs w:val="24"/>
        </w:rPr>
        <w:t xml:space="preserve"> projektu</w:t>
      </w:r>
      <w:r w:rsidRPr="00A42E41">
        <w:rPr>
          <w:bCs/>
          <w:sz w:val="24"/>
          <w:szCs w:val="24"/>
        </w:rPr>
        <w:t xml:space="preserve"> dla praw człowieka</w:t>
      </w:r>
      <w:r>
        <w:rPr>
          <w:bCs/>
          <w:sz w:val="24"/>
          <w:szCs w:val="24"/>
        </w:rPr>
        <w:t>”, jak również „</w:t>
      </w:r>
      <w:r w:rsidRPr="00A42E41">
        <w:rPr>
          <w:bCs/>
          <w:sz w:val="24"/>
          <w:szCs w:val="24"/>
        </w:rPr>
        <w:t>rozważ</w:t>
      </w:r>
      <w:r>
        <w:rPr>
          <w:bCs/>
          <w:sz w:val="24"/>
          <w:szCs w:val="24"/>
        </w:rPr>
        <w:t>enie</w:t>
      </w:r>
      <w:r w:rsidRPr="00A42E41">
        <w:rPr>
          <w:bCs/>
          <w:sz w:val="24"/>
          <w:szCs w:val="24"/>
        </w:rPr>
        <w:t xml:space="preserve"> wszelki</w:t>
      </w:r>
      <w:r>
        <w:rPr>
          <w:bCs/>
          <w:sz w:val="24"/>
          <w:szCs w:val="24"/>
        </w:rPr>
        <w:t>ch</w:t>
      </w:r>
      <w:r w:rsidRPr="00A42E41">
        <w:rPr>
          <w:bCs/>
          <w:sz w:val="24"/>
          <w:szCs w:val="24"/>
        </w:rPr>
        <w:t xml:space="preserve"> oświadcze</w:t>
      </w:r>
      <w:r>
        <w:rPr>
          <w:bCs/>
          <w:sz w:val="24"/>
          <w:szCs w:val="24"/>
        </w:rPr>
        <w:t>ń</w:t>
      </w:r>
      <w:r w:rsidRPr="00A42E41">
        <w:rPr>
          <w:bCs/>
          <w:sz w:val="24"/>
          <w:szCs w:val="24"/>
        </w:rPr>
        <w:t xml:space="preserve"> lub raport</w:t>
      </w:r>
      <w:r>
        <w:rPr>
          <w:bCs/>
          <w:sz w:val="24"/>
          <w:szCs w:val="24"/>
        </w:rPr>
        <w:t>ów</w:t>
      </w:r>
      <w:r w:rsidRPr="00A42E41">
        <w:rPr>
          <w:bCs/>
          <w:sz w:val="24"/>
          <w:szCs w:val="24"/>
        </w:rPr>
        <w:t xml:space="preserve"> upublicznion</w:t>
      </w:r>
      <w:r>
        <w:rPr>
          <w:bCs/>
          <w:sz w:val="24"/>
          <w:szCs w:val="24"/>
        </w:rPr>
        <w:t>ych</w:t>
      </w:r>
      <w:r w:rsidRPr="00A42E41">
        <w:rPr>
          <w:bCs/>
          <w:sz w:val="24"/>
          <w:szCs w:val="24"/>
        </w:rPr>
        <w:t xml:space="preserve"> przez ich Krajowe Punkty Kontaktowe (KPK) </w:t>
      </w:r>
      <w:r>
        <w:rPr>
          <w:bCs/>
          <w:sz w:val="24"/>
          <w:szCs w:val="24"/>
        </w:rPr>
        <w:t>na zakończenie</w:t>
      </w:r>
      <w:r w:rsidRPr="00A42E41">
        <w:rPr>
          <w:bCs/>
          <w:sz w:val="24"/>
          <w:szCs w:val="24"/>
        </w:rPr>
        <w:t xml:space="preserve"> poszczególn</w:t>
      </w:r>
      <w:r>
        <w:rPr>
          <w:bCs/>
          <w:sz w:val="24"/>
          <w:szCs w:val="24"/>
        </w:rPr>
        <w:t>ych</w:t>
      </w:r>
      <w:r w:rsidRPr="00A42E41">
        <w:rPr>
          <w:bCs/>
          <w:sz w:val="24"/>
          <w:szCs w:val="24"/>
        </w:rPr>
        <w:t xml:space="preserve"> etap</w:t>
      </w:r>
      <w:r>
        <w:rPr>
          <w:bCs/>
          <w:sz w:val="24"/>
          <w:szCs w:val="24"/>
        </w:rPr>
        <w:t>ów</w:t>
      </w:r>
      <w:r w:rsidRPr="00A42E41">
        <w:rPr>
          <w:bCs/>
          <w:sz w:val="24"/>
          <w:szCs w:val="24"/>
        </w:rPr>
        <w:t xml:space="preserve"> procedury zgodnie z Wytycznymi OECD dla p</w:t>
      </w:r>
      <w:r>
        <w:rPr>
          <w:bCs/>
          <w:sz w:val="24"/>
          <w:szCs w:val="24"/>
        </w:rPr>
        <w:t>rzedsiębiorstw wielonarodowych”</w:t>
      </w:r>
      <w:r w:rsidRPr="00A42E41">
        <w:rPr>
          <w:bCs/>
          <w:sz w:val="24"/>
          <w:szCs w:val="24"/>
        </w:rPr>
        <w:t>; przystąpienie</w:t>
      </w:r>
      <w:r>
        <w:rPr>
          <w:bCs/>
          <w:sz w:val="24"/>
          <w:szCs w:val="24"/>
        </w:rPr>
        <w:t xml:space="preserve"> do „</w:t>
      </w:r>
      <w:r w:rsidRPr="00A42E41">
        <w:rPr>
          <w:bCs/>
          <w:sz w:val="24"/>
          <w:szCs w:val="24"/>
        </w:rPr>
        <w:t>Międzynarodowego kodeksu postępowania dla prywatnych dostawców usług firm o</w:t>
      </w:r>
      <w:r>
        <w:rPr>
          <w:bCs/>
          <w:sz w:val="24"/>
          <w:szCs w:val="24"/>
        </w:rPr>
        <w:t>chroniarskich”</w:t>
      </w:r>
      <w:r w:rsidRPr="00A42E41">
        <w:rPr>
          <w:bCs/>
          <w:sz w:val="24"/>
          <w:szCs w:val="24"/>
        </w:rPr>
        <w:t>; oraz opracowani</w:t>
      </w:r>
      <w:r>
        <w:rPr>
          <w:bCs/>
          <w:sz w:val="24"/>
          <w:szCs w:val="24"/>
        </w:rPr>
        <w:t>e</w:t>
      </w:r>
      <w:r w:rsidRPr="00A42E41">
        <w:rPr>
          <w:bCs/>
          <w:sz w:val="24"/>
          <w:szCs w:val="24"/>
        </w:rPr>
        <w:t xml:space="preserve"> wytycznych uwzględniających zagrożenia stwarzane przez eksport </w:t>
      </w:r>
      <w:r>
        <w:rPr>
          <w:bCs/>
          <w:sz w:val="24"/>
          <w:szCs w:val="24"/>
        </w:rPr>
        <w:t>określonych</w:t>
      </w:r>
      <w:r w:rsidRPr="00A42E41">
        <w:rPr>
          <w:bCs/>
          <w:sz w:val="24"/>
          <w:szCs w:val="24"/>
        </w:rPr>
        <w:t xml:space="preserve"> technologii, które nie podlegają jeszcze kontroli eksportu, </w:t>
      </w:r>
      <w:r>
        <w:rPr>
          <w:bCs/>
          <w:sz w:val="24"/>
          <w:szCs w:val="24"/>
        </w:rPr>
        <w:t>lecz</w:t>
      </w:r>
      <w:r w:rsidRPr="00A42E41">
        <w:rPr>
          <w:bCs/>
          <w:sz w:val="24"/>
          <w:szCs w:val="24"/>
        </w:rPr>
        <w:t xml:space="preserve"> mogą mieć wpływ na prawa człowieka.</w:t>
      </w:r>
    </w:p>
    <w:p w:rsidR="00591EC1" w:rsidRPr="00A42E41" w:rsidRDefault="00591EC1" w:rsidP="00E7396B">
      <w:pPr>
        <w:pStyle w:val="Akapitzlist"/>
        <w:spacing w:before="120" w:after="120" w:line="240" w:lineRule="auto"/>
        <w:ind w:left="1080"/>
        <w:contextualSpacing w:val="0"/>
        <w:jc w:val="both"/>
        <w:rPr>
          <w:bCs/>
          <w:sz w:val="24"/>
          <w:szCs w:val="24"/>
        </w:rPr>
      </w:pPr>
    </w:p>
    <w:p w:rsidR="00591EC1" w:rsidRPr="00FE4290" w:rsidRDefault="00591EC1" w:rsidP="00E7396B">
      <w:pPr>
        <w:spacing w:before="120" w:after="120" w:line="240" w:lineRule="auto"/>
        <w:ind w:left="567"/>
        <w:jc w:val="both"/>
        <w:rPr>
          <w:bCs/>
          <w:i/>
          <w:sz w:val="24"/>
          <w:szCs w:val="24"/>
        </w:rPr>
      </w:pPr>
      <w:r w:rsidRPr="00FE4290">
        <w:rPr>
          <w:bCs/>
          <w:i/>
          <w:sz w:val="24"/>
          <w:szCs w:val="24"/>
        </w:rPr>
        <w:t>Umowy i misje handlowe</w:t>
      </w:r>
    </w:p>
    <w:p w:rsidR="00591EC1" w:rsidRPr="00A42E41" w:rsidRDefault="00591EC1" w:rsidP="00E7396B">
      <w:pPr>
        <w:pStyle w:val="Akapitzlist"/>
        <w:numPr>
          <w:ilvl w:val="0"/>
          <w:numId w:val="19"/>
        </w:numPr>
        <w:spacing w:before="120" w:after="120" w:line="240" w:lineRule="auto"/>
        <w:ind w:left="567"/>
        <w:contextualSpacing w:val="0"/>
        <w:jc w:val="both"/>
        <w:rPr>
          <w:bCs/>
          <w:sz w:val="24"/>
          <w:szCs w:val="24"/>
        </w:rPr>
      </w:pPr>
      <w:r w:rsidRPr="000D40DC">
        <w:rPr>
          <w:bCs/>
          <w:sz w:val="24"/>
          <w:szCs w:val="24"/>
          <w:u w:val="single"/>
        </w:rPr>
        <w:t>Paragraf 23 Rekomendacji</w:t>
      </w:r>
      <w:r w:rsidRPr="00A42E41">
        <w:rPr>
          <w:bCs/>
          <w:sz w:val="24"/>
          <w:szCs w:val="24"/>
        </w:rPr>
        <w:t xml:space="preserve"> stanowi, że państwa członkowskie powinny rozważyć wpływ na prawa człowieka umów handlowych i inwestycyjnych przed ich </w:t>
      </w:r>
      <w:r w:rsidRPr="001A226A">
        <w:rPr>
          <w:sz w:val="24"/>
          <w:szCs w:val="24"/>
        </w:rPr>
        <w:t>zawarciem</w:t>
      </w:r>
      <w:r w:rsidRPr="00A42E41">
        <w:rPr>
          <w:bCs/>
          <w:sz w:val="24"/>
          <w:szCs w:val="24"/>
        </w:rPr>
        <w:t>. Przy dokonywaniu oceny takiego potencjalnego wpływ</w:t>
      </w:r>
      <w:r>
        <w:rPr>
          <w:bCs/>
          <w:sz w:val="24"/>
          <w:szCs w:val="24"/>
        </w:rPr>
        <w:t>u</w:t>
      </w:r>
      <w:r w:rsidRPr="00A42E41">
        <w:rPr>
          <w:bCs/>
          <w:sz w:val="24"/>
          <w:szCs w:val="24"/>
        </w:rPr>
        <w:t xml:space="preserve"> państwa członkowskie korzystają z szerokiego marginesu swobody. Państwa powinny podjąć odpowiednie kroki w celu złagodzenia zidentyfikowany</w:t>
      </w:r>
      <w:r>
        <w:rPr>
          <w:bCs/>
          <w:sz w:val="24"/>
          <w:szCs w:val="24"/>
        </w:rPr>
        <w:t>ch</w:t>
      </w:r>
      <w:r w:rsidRPr="00A42E41">
        <w:rPr>
          <w:bCs/>
          <w:sz w:val="24"/>
          <w:szCs w:val="24"/>
        </w:rPr>
        <w:t xml:space="preserve"> zagroże</w:t>
      </w:r>
      <w:r>
        <w:rPr>
          <w:bCs/>
          <w:sz w:val="24"/>
          <w:szCs w:val="24"/>
        </w:rPr>
        <w:t>ń i zapobiegania im</w:t>
      </w:r>
      <w:r w:rsidRPr="00A42E41">
        <w:rPr>
          <w:bCs/>
          <w:sz w:val="24"/>
          <w:szCs w:val="24"/>
        </w:rPr>
        <w:t xml:space="preserve">, w tym poprzez włączenie klauzul dotyczących praw człowieka </w:t>
      </w:r>
      <w:r>
        <w:rPr>
          <w:bCs/>
          <w:sz w:val="24"/>
          <w:szCs w:val="24"/>
        </w:rPr>
        <w:t>do</w:t>
      </w:r>
      <w:r w:rsidRPr="00A42E41">
        <w:rPr>
          <w:bCs/>
          <w:sz w:val="24"/>
          <w:szCs w:val="24"/>
        </w:rPr>
        <w:t xml:space="preserve"> um</w:t>
      </w:r>
      <w:r>
        <w:rPr>
          <w:bCs/>
          <w:sz w:val="24"/>
          <w:szCs w:val="24"/>
        </w:rPr>
        <w:t>ó</w:t>
      </w:r>
      <w:r w:rsidRPr="00A42E41">
        <w:rPr>
          <w:bCs/>
          <w:sz w:val="24"/>
          <w:szCs w:val="24"/>
        </w:rPr>
        <w:t xml:space="preserve">w handlowych i inwestycyjnych. W tym kontekście należy zauważyć, że Unia Europejska i państwa EFTA </w:t>
      </w:r>
      <w:r>
        <w:rPr>
          <w:bCs/>
          <w:sz w:val="24"/>
          <w:szCs w:val="24"/>
        </w:rPr>
        <w:t>zamieściły</w:t>
      </w:r>
      <w:r w:rsidRPr="00A42E41">
        <w:rPr>
          <w:bCs/>
          <w:sz w:val="24"/>
          <w:szCs w:val="24"/>
        </w:rPr>
        <w:t xml:space="preserve"> w swoich </w:t>
      </w:r>
      <w:r w:rsidRPr="00CF1FB3">
        <w:rPr>
          <w:bCs/>
          <w:sz w:val="24"/>
          <w:szCs w:val="24"/>
        </w:rPr>
        <w:t>najnowszych</w:t>
      </w:r>
      <w:r w:rsidRPr="00A42E41">
        <w:rPr>
          <w:bCs/>
          <w:sz w:val="24"/>
          <w:szCs w:val="24"/>
        </w:rPr>
        <w:t xml:space="preserve"> umowach o wolnym handlu odniesienia dotyczące promowania społecznej odpowiedzialności biznesu. W zakresie misji handlowych </w:t>
      </w:r>
      <w:r w:rsidRPr="005E0F7D">
        <w:rPr>
          <w:bCs/>
          <w:sz w:val="24"/>
          <w:szCs w:val="24"/>
          <w:u w:val="single"/>
        </w:rPr>
        <w:t>paragraf 25 Rekomendacji</w:t>
      </w:r>
      <w:r w:rsidRPr="00A42E41">
        <w:rPr>
          <w:bCs/>
          <w:sz w:val="24"/>
          <w:szCs w:val="24"/>
        </w:rPr>
        <w:t xml:space="preserve"> przewiduje, że państwa członkowskie powinny uwzględni</w:t>
      </w:r>
      <w:r>
        <w:rPr>
          <w:bCs/>
          <w:sz w:val="24"/>
          <w:szCs w:val="24"/>
        </w:rPr>
        <w:t>a</w:t>
      </w:r>
      <w:r w:rsidRPr="00A42E41">
        <w:rPr>
          <w:bCs/>
          <w:sz w:val="24"/>
          <w:szCs w:val="24"/>
        </w:rPr>
        <w:t>ć i om</w:t>
      </w:r>
      <w:r>
        <w:rPr>
          <w:bCs/>
          <w:sz w:val="24"/>
          <w:szCs w:val="24"/>
        </w:rPr>
        <w:t>a</w:t>
      </w:r>
      <w:r w:rsidRPr="00A42E41">
        <w:rPr>
          <w:bCs/>
          <w:sz w:val="24"/>
          <w:szCs w:val="24"/>
        </w:rPr>
        <w:t>wi</w:t>
      </w:r>
      <w:r>
        <w:rPr>
          <w:bCs/>
          <w:sz w:val="24"/>
          <w:szCs w:val="24"/>
        </w:rPr>
        <w:t>a</w:t>
      </w:r>
      <w:r w:rsidRPr="00A42E41">
        <w:rPr>
          <w:bCs/>
          <w:sz w:val="24"/>
          <w:szCs w:val="24"/>
        </w:rPr>
        <w:t>ć kwestię potencjalnego negatywnego wpływu przyszł</w:t>
      </w:r>
      <w:r>
        <w:rPr>
          <w:bCs/>
          <w:sz w:val="24"/>
          <w:szCs w:val="24"/>
        </w:rPr>
        <w:t>ych</w:t>
      </w:r>
      <w:r w:rsidRPr="00A42E41">
        <w:rPr>
          <w:bCs/>
          <w:sz w:val="24"/>
          <w:szCs w:val="24"/>
        </w:rPr>
        <w:t xml:space="preserve"> działa</w:t>
      </w:r>
      <w:r>
        <w:rPr>
          <w:bCs/>
          <w:sz w:val="24"/>
          <w:szCs w:val="24"/>
        </w:rPr>
        <w:t xml:space="preserve">ń </w:t>
      </w:r>
      <w:r w:rsidRPr="00A42E41">
        <w:rPr>
          <w:bCs/>
          <w:sz w:val="24"/>
          <w:szCs w:val="24"/>
        </w:rPr>
        <w:t xml:space="preserve">na prawa człowieka, oraz wymagać od uczestniczących przedsiębiorstw przestrzegania Wytycznych ONZ </w:t>
      </w:r>
      <w:r>
        <w:rPr>
          <w:bCs/>
          <w:sz w:val="24"/>
          <w:szCs w:val="24"/>
        </w:rPr>
        <w:t>i</w:t>
      </w:r>
      <w:r w:rsidRPr="00A42E41">
        <w:rPr>
          <w:bCs/>
          <w:sz w:val="24"/>
          <w:szCs w:val="24"/>
        </w:rPr>
        <w:t xml:space="preserve"> Wytycznych OECD dla przedsiębiorstw wielonarodowych. </w:t>
      </w:r>
      <w:r>
        <w:rPr>
          <w:bCs/>
          <w:sz w:val="24"/>
          <w:szCs w:val="24"/>
        </w:rPr>
        <w:t>Część</w:t>
      </w:r>
      <w:r w:rsidRPr="00A42E41">
        <w:rPr>
          <w:bCs/>
          <w:sz w:val="24"/>
          <w:szCs w:val="24"/>
        </w:rPr>
        <w:t xml:space="preserve"> państw członkowski</w:t>
      </w:r>
      <w:r>
        <w:rPr>
          <w:bCs/>
          <w:sz w:val="24"/>
          <w:szCs w:val="24"/>
        </w:rPr>
        <w:t>ch</w:t>
      </w:r>
      <w:r w:rsidRPr="00A42E41">
        <w:rPr>
          <w:bCs/>
          <w:sz w:val="24"/>
          <w:szCs w:val="24"/>
        </w:rPr>
        <w:t xml:space="preserve"> Rady Europy, któr</w:t>
      </w:r>
      <w:r>
        <w:rPr>
          <w:bCs/>
          <w:sz w:val="24"/>
          <w:szCs w:val="24"/>
        </w:rPr>
        <w:t>a</w:t>
      </w:r>
      <w:r w:rsidRPr="00A42E41">
        <w:rPr>
          <w:bCs/>
          <w:sz w:val="24"/>
          <w:szCs w:val="24"/>
        </w:rPr>
        <w:t xml:space="preserve"> przyjęł</w:t>
      </w:r>
      <w:r>
        <w:rPr>
          <w:bCs/>
          <w:sz w:val="24"/>
          <w:szCs w:val="24"/>
        </w:rPr>
        <w:t>a</w:t>
      </w:r>
      <w:r w:rsidRPr="00A42E41">
        <w:rPr>
          <w:bCs/>
          <w:sz w:val="24"/>
          <w:szCs w:val="24"/>
        </w:rPr>
        <w:t xml:space="preserve"> już Krajowe Plany Działania</w:t>
      </w:r>
      <w:r>
        <w:rPr>
          <w:bCs/>
          <w:sz w:val="24"/>
          <w:szCs w:val="24"/>
        </w:rPr>
        <w:t>,</w:t>
      </w:r>
      <w:r w:rsidRPr="00A42E41">
        <w:rPr>
          <w:bCs/>
          <w:sz w:val="24"/>
          <w:szCs w:val="24"/>
        </w:rPr>
        <w:t xml:space="preserve"> wyraźnie stwierdził</w:t>
      </w:r>
      <w:r>
        <w:rPr>
          <w:bCs/>
          <w:sz w:val="24"/>
          <w:szCs w:val="24"/>
        </w:rPr>
        <w:t>a</w:t>
      </w:r>
      <w:r w:rsidRPr="00A42E41">
        <w:rPr>
          <w:bCs/>
          <w:sz w:val="24"/>
          <w:szCs w:val="24"/>
        </w:rPr>
        <w:t xml:space="preserve">, że uważa Wytyczne ONZ za integralną część </w:t>
      </w:r>
      <w:r w:rsidRPr="00CF1FB3">
        <w:rPr>
          <w:bCs/>
          <w:sz w:val="24"/>
          <w:szCs w:val="24"/>
        </w:rPr>
        <w:t>swojej</w:t>
      </w:r>
      <w:r w:rsidRPr="00A42E41">
        <w:rPr>
          <w:bCs/>
          <w:sz w:val="24"/>
          <w:szCs w:val="24"/>
        </w:rPr>
        <w:t xml:space="preserve"> polityki zagranicznej i w zakresie praw człowieka, </w:t>
      </w:r>
      <w:r>
        <w:rPr>
          <w:bCs/>
          <w:sz w:val="24"/>
          <w:szCs w:val="24"/>
        </w:rPr>
        <w:t>i zasygnalizowała</w:t>
      </w:r>
      <w:r w:rsidRPr="00A42E41">
        <w:rPr>
          <w:bCs/>
          <w:sz w:val="24"/>
          <w:szCs w:val="24"/>
        </w:rPr>
        <w:t xml:space="preserve"> przedsiębiorstw</w:t>
      </w:r>
      <w:r>
        <w:rPr>
          <w:bCs/>
          <w:sz w:val="24"/>
          <w:szCs w:val="24"/>
        </w:rPr>
        <w:t>om</w:t>
      </w:r>
      <w:r w:rsidRPr="00A42E41">
        <w:rPr>
          <w:bCs/>
          <w:sz w:val="24"/>
          <w:szCs w:val="24"/>
        </w:rPr>
        <w:t xml:space="preserve"> reprezentowany</w:t>
      </w:r>
      <w:r>
        <w:rPr>
          <w:bCs/>
          <w:sz w:val="24"/>
          <w:szCs w:val="24"/>
        </w:rPr>
        <w:t>m</w:t>
      </w:r>
      <w:r w:rsidRPr="00A42E41">
        <w:rPr>
          <w:bCs/>
          <w:sz w:val="24"/>
          <w:szCs w:val="24"/>
        </w:rPr>
        <w:t xml:space="preserve"> w misjach </w:t>
      </w:r>
      <w:r w:rsidRPr="00A42E41">
        <w:rPr>
          <w:bCs/>
          <w:sz w:val="24"/>
          <w:szCs w:val="24"/>
        </w:rPr>
        <w:lastRenderedPageBreak/>
        <w:t>handlowych</w:t>
      </w:r>
      <w:r>
        <w:rPr>
          <w:bCs/>
          <w:sz w:val="24"/>
          <w:szCs w:val="24"/>
        </w:rPr>
        <w:t>, że powinny</w:t>
      </w:r>
      <w:r w:rsidRPr="00A42E41">
        <w:rPr>
          <w:bCs/>
          <w:sz w:val="24"/>
          <w:szCs w:val="24"/>
        </w:rPr>
        <w:t xml:space="preserve"> przeanalizowa</w:t>
      </w:r>
      <w:r>
        <w:rPr>
          <w:bCs/>
          <w:sz w:val="24"/>
          <w:szCs w:val="24"/>
        </w:rPr>
        <w:t>ć</w:t>
      </w:r>
      <w:r w:rsidRPr="00A42E41">
        <w:rPr>
          <w:bCs/>
          <w:sz w:val="24"/>
          <w:szCs w:val="24"/>
        </w:rPr>
        <w:t xml:space="preserve"> potencjaln</w:t>
      </w:r>
      <w:r>
        <w:rPr>
          <w:bCs/>
          <w:sz w:val="24"/>
          <w:szCs w:val="24"/>
        </w:rPr>
        <w:t>e</w:t>
      </w:r>
      <w:r w:rsidRPr="00A42E41">
        <w:rPr>
          <w:bCs/>
          <w:sz w:val="24"/>
          <w:szCs w:val="24"/>
        </w:rPr>
        <w:t xml:space="preserve"> negatywn</w:t>
      </w:r>
      <w:r>
        <w:rPr>
          <w:bCs/>
          <w:sz w:val="24"/>
          <w:szCs w:val="24"/>
        </w:rPr>
        <w:t>e</w:t>
      </w:r>
      <w:r w:rsidRPr="00A42E41">
        <w:rPr>
          <w:bCs/>
          <w:sz w:val="24"/>
          <w:szCs w:val="24"/>
        </w:rPr>
        <w:t xml:space="preserve"> skutk</w:t>
      </w:r>
      <w:r>
        <w:rPr>
          <w:bCs/>
          <w:sz w:val="24"/>
          <w:szCs w:val="24"/>
        </w:rPr>
        <w:t>i</w:t>
      </w:r>
      <w:r w:rsidRPr="00A42E41">
        <w:rPr>
          <w:bCs/>
          <w:sz w:val="24"/>
          <w:szCs w:val="24"/>
        </w:rPr>
        <w:t xml:space="preserve"> dla praw człowieka i </w:t>
      </w:r>
      <w:r>
        <w:rPr>
          <w:bCs/>
          <w:sz w:val="24"/>
          <w:szCs w:val="24"/>
        </w:rPr>
        <w:t>realizować strategie</w:t>
      </w:r>
      <w:r w:rsidRPr="00A42E41">
        <w:rPr>
          <w:bCs/>
          <w:sz w:val="24"/>
          <w:szCs w:val="24"/>
        </w:rPr>
        <w:t xml:space="preserve"> w celu ich złagodzenia.</w:t>
      </w:r>
      <w:r w:rsidRPr="00A42E41">
        <w:rPr>
          <w:sz w:val="24"/>
          <w:szCs w:val="24"/>
        </w:rPr>
        <w:t xml:space="preserve"> </w:t>
      </w:r>
    </w:p>
    <w:p w:rsidR="00591EC1" w:rsidRPr="00A42E41" w:rsidRDefault="00591EC1" w:rsidP="00E7396B">
      <w:pPr>
        <w:pStyle w:val="Akapitzlist"/>
        <w:spacing w:before="120" w:after="120" w:line="240" w:lineRule="auto"/>
        <w:ind w:left="1080"/>
        <w:contextualSpacing w:val="0"/>
        <w:jc w:val="both"/>
        <w:rPr>
          <w:sz w:val="24"/>
          <w:szCs w:val="24"/>
        </w:rPr>
      </w:pPr>
    </w:p>
    <w:p w:rsidR="00591EC1" w:rsidRPr="00FE4290" w:rsidRDefault="00591EC1" w:rsidP="00E7396B">
      <w:pPr>
        <w:spacing w:before="120" w:after="120" w:line="240" w:lineRule="auto"/>
        <w:ind w:left="567"/>
        <w:jc w:val="both"/>
        <w:rPr>
          <w:i/>
          <w:sz w:val="24"/>
          <w:szCs w:val="24"/>
        </w:rPr>
      </w:pPr>
      <w:r w:rsidRPr="00FE4290">
        <w:rPr>
          <w:i/>
          <w:sz w:val="24"/>
          <w:szCs w:val="24"/>
        </w:rPr>
        <w:t>Handel towar</w:t>
      </w:r>
      <w:r>
        <w:rPr>
          <w:i/>
          <w:sz w:val="24"/>
          <w:szCs w:val="24"/>
        </w:rPr>
        <w:t>em</w:t>
      </w:r>
      <w:r w:rsidRPr="00FE4290">
        <w:rPr>
          <w:i/>
          <w:sz w:val="24"/>
          <w:szCs w:val="24"/>
        </w:rPr>
        <w:t>, któr</w:t>
      </w:r>
      <w:r>
        <w:rPr>
          <w:i/>
          <w:sz w:val="24"/>
          <w:szCs w:val="24"/>
        </w:rPr>
        <w:t>y</w:t>
      </w:r>
      <w:r w:rsidRPr="00FE4290">
        <w:rPr>
          <w:i/>
          <w:sz w:val="24"/>
          <w:szCs w:val="24"/>
        </w:rPr>
        <w:t xml:space="preserve"> nie ma innego zastosowania </w:t>
      </w:r>
      <w:r>
        <w:rPr>
          <w:i/>
          <w:sz w:val="24"/>
          <w:szCs w:val="24"/>
        </w:rPr>
        <w:t>poza</w:t>
      </w:r>
      <w:r w:rsidRPr="00FE4290">
        <w:rPr>
          <w:i/>
          <w:sz w:val="24"/>
          <w:szCs w:val="24"/>
        </w:rPr>
        <w:t xml:space="preserve"> wykonywani</w:t>
      </w:r>
      <w:r>
        <w:rPr>
          <w:i/>
          <w:sz w:val="24"/>
          <w:szCs w:val="24"/>
        </w:rPr>
        <w:t>em</w:t>
      </w:r>
      <w:r w:rsidRPr="00FE4290">
        <w:rPr>
          <w:i/>
          <w:sz w:val="24"/>
          <w:szCs w:val="24"/>
        </w:rPr>
        <w:t xml:space="preserve"> kary śmierci lub tortur</w:t>
      </w:r>
    </w:p>
    <w:p w:rsidR="00591EC1" w:rsidRPr="00A42E41" w:rsidRDefault="00591EC1" w:rsidP="00E7396B">
      <w:pPr>
        <w:pStyle w:val="Akapitzlist"/>
        <w:numPr>
          <w:ilvl w:val="0"/>
          <w:numId w:val="19"/>
        </w:numPr>
        <w:spacing w:before="120" w:after="120" w:line="240" w:lineRule="auto"/>
        <w:ind w:left="567"/>
        <w:contextualSpacing w:val="0"/>
        <w:jc w:val="both"/>
        <w:rPr>
          <w:bCs/>
          <w:sz w:val="24"/>
          <w:szCs w:val="24"/>
        </w:rPr>
      </w:pPr>
      <w:r w:rsidRPr="00A42E41">
        <w:rPr>
          <w:bCs/>
          <w:sz w:val="24"/>
          <w:szCs w:val="24"/>
        </w:rPr>
        <w:t>Rada Europy i jej państwa członkowskie sprzeciwiają się karze śmierci w każdym miejscu i bez względu na okoliczności. Ponadto tortury</w:t>
      </w:r>
      <w:r>
        <w:rPr>
          <w:bCs/>
          <w:sz w:val="24"/>
          <w:szCs w:val="24"/>
        </w:rPr>
        <w:t xml:space="preserve"> oraz</w:t>
      </w:r>
      <w:r w:rsidRPr="00A42E41">
        <w:rPr>
          <w:bCs/>
          <w:sz w:val="24"/>
          <w:szCs w:val="24"/>
        </w:rPr>
        <w:t xml:space="preserve"> nieludzkie lub poniżające traktowanie albo karanie zostały zakazane na świecie przez prawo międzynarodowe, w szczególności przez art. 7 Międzynarodowego Paktu Praw Obywatelskich i Politycznych (zakaz tortur) oraz Konwencję ONZ w sprawie zakazu stosowania tortur oraz innego okrutnego, nieludzkiego lub poniżającego traktowania albo karania. W celu uzupełnienia zobowiązań, którymi są związane</w:t>
      </w:r>
      <w:r w:rsidRPr="00A42E41">
        <w:rPr>
          <w:sz w:val="24"/>
          <w:szCs w:val="24"/>
        </w:rPr>
        <w:t xml:space="preserve"> </w:t>
      </w:r>
      <w:r w:rsidRPr="00A42E41">
        <w:rPr>
          <w:bCs/>
          <w:sz w:val="24"/>
          <w:szCs w:val="24"/>
        </w:rPr>
        <w:t>państwa członkowskie Rada Europy na mocy art. 3 Konwencji o ochronie praw człowieka i podstawowych wolności (zakaz tortur) oraz protokołów nr 6 i 13</w:t>
      </w:r>
      <w:r>
        <w:rPr>
          <w:bCs/>
          <w:sz w:val="24"/>
          <w:szCs w:val="24"/>
        </w:rPr>
        <w:t xml:space="preserve"> do Konwencji</w:t>
      </w:r>
      <w:r w:rsidRPr="00A42E41">
        <w:rPr>
          <w:bCs/>
          <w:sz w:val="24"/>
          <w:szCs w:val="24"/>
        </w:rPr>
        <w:t xml:space="preserve"> (odpowiednio, zniesienie kary śmierci w czasie pokoju, jak i we wszystkich okolicznościach), państwa członkowskie powinny zapewnić, </w:t>
      </w:r>
      <w:r>
        <w:rPr>
          <w:bCs/>
          <w:sz w:val="24"/>
          <w:szCs w:val="24"/>
        </w:rPr>
        <w:t>aby</w:t>
      </w:r>
      <w:r w:rsidRPr="00A42E41">
        <w:rPr>
          <w:bCs/>
          <w:sz w:val="24"/>
          <w:szCs w:val="24"/>
        </w:rPr>
        <w:t xml:space="preserve"> przedsiębiorstwa mające siedzibę w obrębie ich jurysdykcji nie handl</w:t>
      </w:r>
      <w:r>
        <w:rPr>
          <w:bCs/>
          <w:sz w:val="24"/>
          <w:szCs w:val="24"/>
        </w:rPr>
        <w:t>owały</w:t>
      </w:r>
      <w:r w:rsidRPr="00A42E41">
        <w:rPr>
          <w:bCs/>
          <w:sz w:val="24"/>
          <w:szCs w:val="24"/>
        </w:rPr>
        <w:t xml:space="preserve"> towar</w:t>
      </w:r>
      <w:r>
        <w:rPr>
          <w:bCs/>
          <w:sz w:val="24"/>
          <w:szCs w:val="24"/>
        </w:rPr>
        <w:t>em</w:t>
      </w:r>
      <w:r w:rsidRPr="00A42E41">
        <w:rPr>
          <w:bCs/>
          <w:sz w:val="24"/>
          <w:szCs w:val="24"/>
        </w:rPr>
        <w:t xml:space="preserve">, który nie ma innego praktycznego zastosowania </w:t>
      </w:r>
      <w:r>
        <w:rPr>
          <w:bCs/>
          <w:sz w:val="24"/>
          <w:szCs w:val="24"/>
        </w:rPr>
        <w:t>poza</w:t>
      </w:r>
      <w:r w:rsidRPr="00A42E41">
        <w:rPr>
          <w:bCs/>
          <w:sz w:val="24"/>
          <w:szCs w:val="24"/>
        </w:rPr>
        <w:t xml:space="preserve"> wykonywani</w:t>
      </w:r>
      <w:r>
        <w:rPr>
          <w:bCs/>
          <w:sz w:val="24"/>
          <w:szCs w:val="24"/>
        </w:rPr>
        <w:t>em</w:t>
      </w:r>
      <w:r w:rsidRPr="00A42E41">
        <w:rPr>
          <w:bCs/>
          <w:sz w:val="24"/>
          <w:szCs w:val="24"/>
        </w:rPr>
        <w:t xml:space="preserve"> kary śmierci, tortur lub inn</w:t>
      </w:r>
      <w:r>
        <w:rPr>
          <w:bCs/>
          <w:sz w:val="24"/>
          <w:szCs w:val="24"/>
        </w:rPr>
        <w:t>ym</w:t>
      </w:r>
      <w:r w:rsidRPr="00A42E41">
        <w:rPr>
          <w:bCs/>
          <w:sz w:val="24"/>
          <w:szCs w:val="24"/>
        </w:rPr>
        <w:t xml:space="preserve"> nieludzki</w:t>
      </w:r>
      <w:r>
        <w:rPr>
          <w:bCs/>
          <w:sz w:val="24"/>
          <w:szCs w:val="24"/>
        </w:rPr>
        <w:t>m</w:t>
      </w:r>
      <w:r w:rsidRPr="00A42E41">
        <w:rPr>
          <w:bCs/>
          <w:sz w:val="24"/>
          <w:szCs w:val="24"/>
        </w:rPr>
        <w:t xml:space="preserve"> lub poniżając</w:t>
      </w:r>
      <w:r>
        <w:rPr>
          <w:bCs/>
          <w:sz w:val="24"/>
          <w:szCs w:val="24"/>
        </w:rPr>
        <w:t>ym</w:t>
      </w:r>
      <w:r w:rsidRPr="00A42E41">
        <w:rPr>
          <w:bCs/>
          <w:sz w:val="24"/>
          <w:szCs w:val="24"/>
        </w:rPr>
        <w:t xml:space="preserve"> traktowani</w:t>
      </w:r>
      <w:r>
        <w:rPr>
          <w:bCs/>
          <w:sz w:val="24"/>
          <w:szCs w:val="24"/>
        </w:rPr>
        <w:t>em</w:t>
      </w:r>
      <w:r w:rsidRPr="00A42E41">
        <w:rPr>
          <w:bCs/>
          <w:sz w:val="24"/>
          <w:szCs w:val="24"/>
        </w:rPr>
        <w:t xml:space="preserve"> albo karani</w:t>
      </w:r>
      <w:r>
        <w:rPr>
          <w:bCs/>
          <w:sz w:val="24"/>
          <w:szCs w:val="24"/>
        </w:rPr>
        <w:t>em</w:t>
      </w:r>
      <w:r w:rsidRPr="00A42E41">
        <w:rPr>
          <w:bCs/>
          <w:sz w:val="24"/>
          <w:szCs w:val="24"/>
        </w:rPr>
        <w:t xml:space="preserve"> (</w:t>
      </w:r>
      <w:r w:rsidRPr="005E0F7D">
        <w:rPr>
          <w:bCs/>
          <w:sz w:val="24"/>
          <w:szCs w:val="24"/>
          <w:u w:val="single"/>
        </w:rPr>
        <w:t>paragraf 24 Rekomendacji</w:t>
      </w:r>
      <w:r w:rsidRPr="00A42E41">
        <w:rPr>
          <w:bCs/>
          <w:sz w:val="24"/>
          <w:szCs w:val="24"/>
        </w:rPr>
        <w:t xml:space="preserve">). Takimi towarami mogą być szubienice, krzesła elektryczne lub systemy automatycznego wstrzykiwania </w:t>
      </w:r>
      <w:r>
        <w:rPr>
          <w:bCs/>
          <w:sz w:val="24"/>
          <w:szCs w:val="24"/>
        </w:rPr>
        <w:t>trucizny</w:t>
      </w:r>
      <w:r w:rsidRPr="00A42E41">
        <w:rPr>
          <w:bCs/>
          <w:sz w:val="24"/>
          <w:szCs w:val="24"/>
        </w:rPr>
        <w:t xml:space="preserve">, a także </w:t>
      </w:r>
      <w:r>
        <w:rPr>
          <w:bCs/>
          <w:sz w:val="24"/>
          <w:szCs w:val="24"/>
        </w:rPr>
        <w:t>substancje</w:t>
      </w:r>
      <w:r w:rsidRPr="00A42E41">
        <w:rPr>
          <w:bCs/>
          <w:sz w:val="24"/>
          <w:szCs w:val="24"/>
        </w:rPr>
        <w:t xml:space="preserve"> importowane przez kraje wykonujące karę śmierci, których jedynym zastosowaniem są śmiertelne zastrzyki.</w:t>
      </w:r>
    </w:p>
    <w:p w:rsidR="00591EC1" w:rsidRPr="00A42E41" w:rsidRDefault="00591EC1" w:rsidP="00E7396B">
      <w:pPr>
        <w:pStyle w:val="Akapitzlist"/>
        <w:numPr>
          <w:ilvl w:val="0"/>
          <w:numId w:val="19"/>
        </w:numPr>
        <w:spacing w:before="120" w:after="120" w:line="240" w:lineRule="auto"/>
        <w:ind w:left="567"/>
        <w:contextualSpacing w:val="0"/>
        <w:jc w:val="both"/>
        <w:rPr>
          <w:bCs/>
          <w:sz w:val="24"/>
          <w:szCs w:val="24"/>
        </w:rPr>
      </w:pPr>
      <w:r w:rsidRPr="00A42E41">
        <w:rPr>
          <w:bCs/>
          <w:sz w:val="24"/>
          <w:szCs w:val="24"/>
        </w:rPr>
        <w:t>Dla państw członkowskich</w:t>
      </w:r>
      <w:r w:rsidRPr="00A42E41">
        <w:rPr>
          <w:sz w:val="24"/>
          <w:szCs w:val="24"/>
        </w:rPr>
        <w:t xml:space="preserve"> </w:t>
      </w:r>
      <w:r w:rsidRPr="00A42E41">
        <w:rPr>
          <w:bCs/>
          <w:sz w:val="24"/>
          <w:szCs w:val="24"/>
        </w:rPr>
        <w:t xml:space="preserve">Rady Europy, które są </w:t>
      </w:r>
      <w:r>
        <w:rPr>
          <w:bCs/>
          <w:sz w:val="24"/>
          <w:szCs w:val="24"/>
        </w:rPr>
        <w:t>jednocześnie</w:t>
      </w:r>
      <w:r w:rsidRPr="00A42E41">
        <w:rPr>
          <w:bCs/>
          <w:sz w:val="24"/>
          <w:szCs w:val="24"/>
        </w:rPr>
        <w:t xml:space="preserve"> w Unii </w:t>
      </w:r>
      <w:r w:rsidRPr="001A226A">
        <w:rPr>
          <w:sz w:val="24"/>
          <w:szCs w:val="24"/>
        </w:rPr>
        <w:t>Europejskiej</w:t>
      </w:r>
      <w:r w:rsidRPr="00A42E41">
        <w:rPr>
          <w:bCs/>
          <w:sz w:val="24"/>
          <w:szCs w:val="24"/>
        </w:rPr>
        <w:t xml:space="preserve">, Rozporządzenie Rady (WE) 1236/2005 w sprawie handlu niektórymi towarami, które mogłyby być użyte do wykonywania kary śmierci, tortur lub innego okrutnego, nieludzkiego lub poniżającego </w:t>
      </w:r>
      <w:r>
        <w:rPr>
          <w:bCs/>
          <w:sz w:val="24"/>
          <w:szCs w:val="24"/>
        </w:rPr>
        <w:t>traktowania albo karania ([2005</w:t>
      </w:r>
      <w:r w:rsidRPr="00A42E41">
        <w:rPr>
          <w:bCs/>
          <w:sz w:val="24"/>
          <w:szCs w:val="24"/>
        </w:rPr>
        <w:t xml:space="preserve">] Dz. U. L 200/1, </w:t>
      </w:r>
      <w:r>
        <w:rPr>
          <w:bCs/>
          <w:sz w:val="24"/>
          <w:szCs w:val="24"/>
        </w:rPr>
        <w:t>aneks</w:t>
      </w:r>
      <w:r w:rsidRPr="00A42E41">
        <w:rPr>
          <w:bCs/>
          <w:sz w:val="24"/>
          <w:szCs w:val="24"/>
        </w:rPr>
        <w:t xml:space="preserve"> II) wprowadziło kontrolę </w:t>
      </w:r>
      <w:r>
        <w:rPr>
          <w:bCs/>
          <w:sz w:val="24"/>
          <w:szCs w:val="24"/>
        </w:rPr>
        <w:t>wywozu</w:t>
      </w:r>
      <w:r w:rsidRPr="00A42E41">
        <w:rPr>
          <w:bCs/>
          <w:sz w:val="24"/>
          <w:szCs w:val="24"/>
        </w:rPr>
        <w:t xml:space="preserve"> towarów, które są używane w tym zakresie. Po podjęciu</w:t>
      </w:r>
      <w:r w:rsidRPr="00A42E41">
        <w:rPr>
          <w:sz w:val="24"/>
          <w:szCs w:val="24"/>
        </w:rPr>
        <w:t xml:space="preserve"> </w:t>
      </w:r>
      <w:r w:rsidRPr="00A42E41">
        <w:rPr>
          <w:bCs/>
          <w:sz w:val="24"/>
          <w:szCs w:val="24"/>
        </w:rPr>
        <w:t>przez</w:t>
      </w:r>
      <w:r>
        <w:rPr>
          <w:bCs/>
          <w:sz w:val="24"/>
          <w:szCs w:val="24"/>
        </w:rPr>
        <w:t xml:space="preserve"> kilka</w:t>
      </w:r>
      <w:r w:rsidRPr="00A42E41">
        <w:rPr>
          <w:bCs/>
          <w:sz w:val="24"/>
          <w:szCs w:val="24"/>
        </w:rPr>
        <w:t xml:space="preserve"> europejski</w:t>
      </w:r>
      <w:r>
        <w:rPr>
          <w:bCs/>
          <w:sz w:val="24"/>
          <w:szCs w:val="24"/>
        </w:rPr>
        <w:t>ch</w:t>
      </w:r>
      <w:r w:rsidRPr="00A42E41">
        <w:rPr>
          <w:bCs/>
          <w:sz w:val="24"/>
          <w:szCs w:val="24"/>
        </w:rPr>
        <w:t xml:space="preserve"> przedsiębiorstw działań mających na celu zaprzestani</w:t>
      </w:r>
      <w:r>
        <w:rPr>
          <w:bCs/>
          <w:sz w:val="24"/>
          <w:szCs w:val="24"/>
        </w:rPr>
        <w:t>e</w:t>
      </w:r>
      <w:r w:rsidRPr="00A42E41">
        <w:rPr>
          <w:bCs/>
          <w:sz w:val="24"/>
          <w:szCs w:val="24"/>
        </w:rPr>
        <w:t xml:space="preserve"> handlu chemikaliami, które mogą być użyte do śmiertelnych zastrzyków, Rozporządzenie zostało zmienione w 2011 r.</w:t>
      </w:r>
      <w:r>
        <w:rPr>
          <w:bCs/>
          <w:sz w:val="24"/>
          <w:szCs w:val="24"/>
        </w:rPr>
        <w:t>,</w:t>
      </w:r>
      <w:r w:rsidRPr="00A42E41">
        <w:rPr>
          <w:bCs/>
          <w:sz w:val="24"/>
          <w:szCs w:val="24"/>
        </w:rPr>
        <w:t xml:space="preserve"> obejmując swoim zakresem również zakaz eksportu materiałów, które są używane do śmiertelnych zastrzyków.</w:t>
      </w:r>
      <w:r w:rsidRPr="00A42E41">
        <w:rPr>
          <w:rStyle w:val="Odwoanieprzypisukocowego"/>
          <w:bCs/>
          <w:sz w:val="24"/>
          <w:szCs w:val="24"/>
        </w:rPr>
        <w:endnoteReference w:id="16"/>
      </w:r>
      <w:r w:rsidRPr="00A42E41">
        <w:rPr>
          <w:bCs/>
          <w:sz w:val="24"/>
          <w:szCs w:val="24"/>
        </w:rPr>
        <w:t xml:space="preserve"> </w:t>
      </w:r>
    </w:p>
    <w:p w:rsidR="00591EC1" w:rsidRPr="00A42E41" w:rsidRDefault="00591EC1" w:rsidP="00E7396B">
      <w:pPr>
        <w:pStyle w:val="Akapitzlist"/>
        <w:spacing w:before="120" w:after="120" w:line="240" w:lineRule="auto"/>
        <w:ind w:left="1080"/>
        <w:contextualSpacing w:val="0"/>
        <w:jc w:val="both"/>
        <w:rPr>
          <w:bCs/>
          <w:sz w:val="24"/>
          <w:szCs w:val="24"/>
        </w:rPr>
      </w:pPr>
    </w:p>
    <w:p w:rsidR="00591EC1" w:rsidRPr="00FE4290" w:rsidRDefault="00591EC1" w:rsidP="00E7396B">
      <w:pPr>
        <w:spacing w:before="120" w:after="120" w:line="240" w:lineRule="auto"/>
        <w:ind w:left="567"/>
        <w:jc w:val="both"/>
        <w:rPr>
          <w:bCs/>
          <w:i/>
          <w:sz w:val="24"/>
          <w:szCs w:val="24"/>
        </w:rPr>
      </w:pPr>
      <w:r w:rsidRPr="00FE4290">
        <w:rPr>
          <w:bCs/>
          <w:i/>
          <w:sz w:val="24"/>
          <w:szCs w:val="24"/>
        </w:rPr>
        <w:t>Doradztwo</w:t>
      </w:r>
      <w:r w:rsidRPr="00FE4290">
        <w:rPr>
          <w:i/>
          <w:sz w:val="24"/>
          <w:szCs w:val="24"/>
        </w:rPr>
        <w:t xml:space="preserve"> dotyczące </w:t>
      </w:r>
      <w:r w:rsidRPr="00FE4290">
        <w:rPr>
          <w:bCs/>
          <w:i/>
          <w:sz w:val="24"/>
          <w:szCs w:val="24"/>
        </w:rPr>
        <w:t>krajów trzecich o trudnej sytuacji w zakresie praw człowieka</w:t>
      </w:r>
    </w:p>
    <w:p w:rsidR="00591EC1" w:rsidRPr="00A42E41" w:rsidRDefault="00591EC1" w:rsidP="00E7396B">
      <w:pPr>
        <w:pStyle w:val="Akapitzlist"/>
        <w:numPr>
          <w:ilvl w:val="0"/>
          <w:numId w:val="19"/>
        </w:numPr>
        <w:spacing w:before="120" w:after="120" w:line="240" w:lineRule="auto"/>
        <w:ind w:left="567"/>
        <w:contextualSpacing w:val="0"/>
        <w:jc w:val="both"/>
        <w:rPr>
          <w:bCs/>
          <w:sz w:val="24"/>
          <w:szCs w:val="24"/>
        </w:rPr>
      </w:pPr>
      <w:r>
        <w:rPr>
          <w:bCs/>
          <w:sz w:val="24"/>
          <w:szCs w:val="24"/>
        </w:rPr>
        <w:t>Część</w:t>
      </w:r>
      <w:r w:rsidRPr="00A42E41">
        <w:rPr>
          <w:bCs/>
          <w:sz w:val="24"/>
          <w:szCs w:val="24"/>
        </w:rPr>
        <w:t xml:space="preserve"> państw członkowski</w:t>
      </w:r>
      <w:r>
        <w:rPr>
          <w:bCs/>
          <w:sz w:val="24"/>
          <w:szCs w:val="24"/>
        </w:rPr>
        <w:t>ch</w:t>
      </w:r>
      <w:r w:rsidRPr="00A42E41">
        <w:rPr>
          <w:bCs/>
          <w:sz w:val="24"/>
          <w:szCs w:val="24"/>
        </w:rPr>
        <w:t>, któr</w:t>
      </w:r>
      <w:r>
        <w:rPr>
          <w:bCs/>
          <w:sz w:val="24"/>
          <w:szCs w:val="24"/>
        </w:rPr>
        <w:t>a</w:t>
      </w:r>
      <w:r w:rsidRPr="00A42E41">
        <w:rPr>
          <w:bCs/>
          <w:sz w:val="24"/>
          <w:szCs w:val="24"/>
        </w:rPr>
        <w:t xml:space="preserve"> wdrożył</w:t>
      </w:r>
      <w:r>
        <w:rPr>
          <w:bCs/>
          <w:sz w:val="24"/>
          <w:szCs w:val="24"/>
        </w:rPr>
        <w:t>a</w:t>
      </w:r>
      <w:r w:rsidRPr="00A42E41">
        <w:rPr>
          <w:bCs/>
          <w:sz w:val="24"/>
          <w:szCs w:val="24"/>
        </w:rPr>
        <w:t xml:space="preserve"> Krajowe Plany Działania</w:t>
      </w:r>
      <w:r>
        <w:rPr>
          <w:bCs/>
          <w:sz w:val="24"/>
          <w:szCs w:val="24"/>
        </w:rPr>
        <w:t>,</w:t>
      </w:r>
      <w:r w:rsidRPr="00A42E41">
        <w:rPr>
          <w:bCs/>
          <w:sz w:val="24"/>
          <w:szCs w:val="24"/>
        </w:rPr>
        <w:t xml:space="preserve"> uznał</w:t>
      </w:r>
      <w:r>
        <w:rPr>
          <w:bCs/>
          <w:sz w:val="24"/>
          <w:szCs w:val="24"/>
        </w:rPr>
        <w:t>a</w:t>
      </w:r>
      <w:r w:rsidRPr="00A42E41">
        <w:rPr>
          <w:bCs/>
          <w:sz w:val="24"/>
          <w:szCs w:val="24"/>
        </w:rPr>
        <w:t xml:space="preserve"> ważną rolę ambasad i konsulatów w informowaniu przedsiębiorstw krajowych</w:t>
      </w:r>
      <w:r>
        <w:rPr>
          <w:bCs/>
          <w:sz w:val="24"/>
          <w:szCs w:val="24"/>
        </w:rPr>
        <w:t xml:space="preserve"> prowadzących działalność</w:t>
      </w:r>
      <w:r w:rsidRPr="00A42E41">
        <w:rPr>
          <w:bCs/>
          <w:sz w:val="24"/>
          <w:szCs w:val="24"/>
        </w:rPr>
        <w:t xml:space="preserve"> za granicą o Wytycznych ONZ, zgodnie </w:t>
      </w:r>
      <w:r w:rsidRPr="005E0F7D">
        <w:rPr>
          <w:bCs/>
          <w:sz w:val="24"/>
          <w:szCs w:val="24"/>
          <w:u w:val="single"/>
        </w:rPr>
        <w:t>z paragrafem 26 Rekomendacji</w:t>
      </w:r>
      <w:r w:rsidRPr="00A42E41">
        <w:rPr>
          <w:bCs/>
          <w:sz w:val="24"/>
          <w:szCs w:val="24"/>
        </w:rPr>
        <w:t>. Może to być szczególnie istotne w przypadku, gdy dany kraj trzeci przechodzi znaczące zmiany, które mogą w konsekwencji prowadzić do otwarcia gospodarki na inwestycje zagraniczne, czy to poprzez zniesienie sankcji ekonomicznych i embarga</w:t>
      </w:r>
      <w:r>
        <w:rPr>
          <w:bCs/>
          <w:sz w:val="24"/>
          <w:szCs w:val="24"/>
        </w:rPr>
        <w:t>, czy</w:t>
      </w:r>
      <w:r w:rsidRPr="00A42E41">
        <w:rPr>
          <w:bCs/>
          <w:sz w:val="24"/>
          <w:szCs w:val="24"/>
        </w:rPr>
        <w:t xml:space="preserve"> z powodu ogólnych reform gospodarczych. Powyższe informacje mogą dotyczyć na przykład negatywnego wpływu na pracowników, rdzenną ludność i społecznoś</w:t>
      </w:r>
      <w:r>
        <w:rPr>
          <w:bCs/>
          <w:sz w:val="24"/>
          <w:szCs w:val="24"/>
        </w:rPr>
        <w:t>ci</w:t>
      </w:r>
      <w:r w:rsidRPr="00A42E41">
        <w:rPr>
          <w:bCs/>
          <w:sz w:val="24"/>
          <w:szCs w:val="24"/>
        </w:rPr>
        <w:t>, mniejszości etniczne i językowe, imigrantów, kobiety, dzieci, osoby należące do mniejszości seksualnych i płciowych lub os</w:t>
      </w:r>
      <w:r>
        <w:rPr>
          <w:bCs/>
          <w:sz w:val="24"/>
          <w:szCs w:val="24"/>
        </w:rPr>
        <w:t>oby</w:t>
      </w:r>
      <w:r w:rsidRPr="00A42E41">
        <w:rPr>
          <w:bCs/>
          <w:sz w:val="24"/>
          <w:szCs w:val="24"/>
        </w:rPr>
        <w:t xml:space="preserve"> niepełnosprawn</w:t>
      </w:r>
      <w:r>
        <w:rPr>
          <w:bCs/>
          <w:sz w:val="24"/>
          <w:szCs w:val="24"/>
        </w:rPr>
        <w:t>e</w:t>
      </w:r>
      <w:r w:rsidRPr="00A42E41">
        <w:rPr>
          <w:bCs/>
          <w:sz w:val="24"/>
          <w:szCs w:val="24"/>
        </w:rPr>
        <w:t xml:space="preserve">. </w:t>
      </w:r>
      <w:r>
        <w:rPr>
          <w:bCs/>
          <w:sz w:val="24"/>
          <w:szCs w:val="24"/>
        </w:rPr>
        <w:t>S</w:t>
      </w:r>
      <w:r w:rsidRPr="00A42E41">
        <w:rPr>
          <w:bCs/>
          <w:sz w:val="24"/>
          <w:szCs w:val="24"/>
        </w:rPr>
        <w:t>zczególnie ważne</w:t>
      </w:r>
      <w:r>
        <w:rPr>
          <w:bCs/>
          <w:sz w:val="24"/>
          <w:szCs w:val="24"/>
        </w:rPr>
        <w:t xml:space="preserve"> może się okazać</w:t>
      </w:r>
      <w:r w:rsidRPr="00A42E41">
        <w:rPr>
          <w:bCs/>
          <w:sz w:val="24"/>
          <w:szCs w:val="24"/>
        </w:rPr>
        <w:t xml:space="preserve"> przekaza</w:t>
      </w:r>
      <w:r>
        <w:rPr>
          <w:bCs/>
          <w:sz w:val="24"/>
          <w:szCs w:val="24"/>
        </w:rPr>
        <w:t>nie</w:t>
      </w:r>
      <w:r w:rsidRPr="00A42E41">
        <w:rPr>
          <w:bCs/>
          <w:sz w:val="24"/>
          <w:szCs w:val="24"/>
        </w:rPr>
        <w:t xml:space="preserve"> t</w:t>
      </w:r>
      <w:r>
        <w:rPr>
          <w:bCs/>
          <w:sz w:val="24"/>
          <w:szCs w:val="24"/>
        </w:rPr>
        <w:t>ych</w:t>
      </w:r>
      <w:r w:rsidRPr="00A42E41">
        <w:rPr>
          <w:bCs/>
          <w:sz w:val="24"/>
          <w:szCs w:val="24"/>
        </w:rPr>
        <w:t xml:space="preserve"> informacj</w:t>
      </w:r>
      <w:r>
        <w:rPr>
          <w:bCs/>
          <w:sz w:val="24"/>
          <w:szCs w:val="24"/>
        </w:rPr>
        <w:t>i</w:t>
      </w:r>
      <w:r w:rsidRPr="00A42E41">
        <w:rPr>
          <w:bCs/>
          <w:sz w:val="24"/>
          <w:szCs w:val="24"/>
        </w:rPr>
        <w:t xml:space="preserve"> małym i średnim przedsiębiorstwom, któr</w:t>
      </w:r>
      <w:r>
        <w:rPr>
          <w:bCs/>
          <w:sz w:val="24"/>
          <w:szCs w:val="24"/>
        </w:rPr>
        <w:t>ych</w:t>
      </w:r>
      <w:r w:rsidRPr="00A42E41">
        <w:rPr>
          <w:bCs/>
          <w:sz w:val="24"/>
          <w:szCs w:val="24"/>
        </w:rPr>
        <w:t xml:space="preserve"> </w:t>
      </w:r>
      <w:r w:rsidRPr="00A42E41">
        <w:rPr>
          <w:bCs/>
          <w:sz w:val="24"/>
          <w:szCs w:val="24"/>
        </w:rPr>
        <w:lastRenderedPageBreak/>
        <w:t>zna</w:t>
      </w:r>
      <w:r>
        <w:rPr>
          <w:bCs/>
          <w:sz w:val="24"/>
          <w:szCs w:val="24"/>
        </w:rPr>
        <w:t>jomoś</w:t>
      </w:r>
      <w:r w:rsidRPr="00A42E41">
        <w:rPr>
          <w:bCs/>
          <w:sz w:val="24"/>
          <w:szCs w:val="24"/>
        </w:rPr>
        <w:t>ć Wytyczn</w:t>
      </w:r>
      <w:r>
        <w:rPr>
          <w:bCs/>
          <w:sz w:val="24"/>
          <w:szCs w:val="24"/>
        </w:rPr>
        <w:t>ych</w:t>
      </w:r>
      <w:r w:rsidRPr="00A42E41">
        <w:rPr>
          <w:bCs/>
          <w:sz w:val="24"/>
          <w:szCs w:val="24"/>
        </w:rPr>
        <w:t xml:space="preserve"> ONZ i ich treś</w:t>
      </w:r>
      <w:r>
        <w:rPr>
          <w:bCs/>
          <w:sz w:val="24"/>
          <w:szCs w:val="24"/>
        </w:rPr>
        <w:t>ci bywa mniejsza</w:t>
      </w:r>
      <w:r w:rsidRPr="00A42E41">
        <w:rPr>
          <w:bCs/>
          <w:sz w:val="24"/>
          <w:szCs w:val="24"/>
        </w:rPr>
        <w:t>,</w:t>
      </w:r>
      <w:r>
        <w:rPr>
          <w:bCs/>
          <w:sz w:val="24"/>
          <w:szCs w:val="24"/>
        </w:rPr>
        <w:t xml:space="preserve"> a uzyskanie dostępu do takich informacji często stanowi dla nich</w:t>
      </w:r>
      <w:r w:rsidRPr="00A42E41">
        <w:rPr>
          <w:bCs/>
          <w:sz w:val="24"/>
          <w:szCs w:val="24"/>
        </w:rPr>
        <w:t xml:space="preserve"> </w:t>
      </w:r>
      <w:r w:rsidRPr="00B56A43">
        <w:rPr>
          <w:bCs/>
          <w:sz w:val="24"/>
          <w:szCs w:val="24"/>
        </w:rPr>
        <w:t>szczególne wyzwanie.</w:t>
      </w:r>
    </w:p>
    <w:p w:rsidR="00591EC1" w:rsidRDefault="00591EC1" w:rsidP="00E7396B">
      <w:pPr>
        <w:pStyle w:val="Akapitzlist"/>
        <w:numPr>
          <w:ilvl w:val="0"/>
          <w:numId w:val="19"/>
        </w:numPr>
        <w:spacing w:before="120" w:after="120" w:line="240" w:lineRule="auto"/>
        <w:ind w:left="567"/>
        <w:contextualSpacing w:val="0"/>
        <w:jc w:val="both"/>
        <w:rPr>
          <w:bCs/>
          <w:sz w:val="24"/>
          <w:szCs w:val="24"/>
        </w:rPr>
      </w:pPr>
      <w:r w:rsidRPr="00A42E41">
        <w:rPr>
          <w:bCs/>
          <w:sz w:val="24"/>
          <w:szCs w:val="24"/>
        </w:rPr>
        <w:t xml:space="preserve">Ponadto w swoich Krajowych Planach Działania państwa członkowskie poinformowały </w:t>
      </w:r>
      <w:r>
        <w:rPr>
          <w:bCs/>
          <w:sz w:val="24"/>
          <w:szCs w:val="24"/>
        </w:rPr>
        <w:t>o podjętych w przeszłości</w:t>
      </w:r>
      <w:r w:rsidRPr="00A42E41">
        <w:rPr>
          <w:bCs/>
          <w:sz w:val="24"/>
          <w:szCs w:val="24"/>
        </w:rPr>
        <w:t xml:space="preserve"> działa</w:t>
      </w:r>
      <w:r>
        <w:rPr>
          <w:bCs/>
          <w:sz w:val="24"/>
          <w:szCs w:val="24"/>
        </w:rPr>
        <w:t>niach</w:t>
      </w:r>
      <w:r w:rsidRPr="00A42E41">
        <w:rPr>
          <w:bCs/>
          <w:sz w:val="24"/>
          <w:szCs w:val="24"/>
        </w:rPr>
        <w:t xml:space="preserve">, takich jak organizacja w państwach trzecich debat dotyczących społecznej odpowiedzialności biznesu, w których </w:t>
      </w:r>
      <w:r>
        <w:rPr>
          <w:bCs/>
          <w:sz w:val="24"/>
          <w:szCs w:val="24"/>
        </w:rPr>
        <w:t>brały</w:t>
      </w:r>
      <w:r w:rsidRPr="00A42E41">
        <w:rPr>
          <w:bCs/>
          <w:sz w:val="24"/>
          <w:szCs w:val="24"/>
        </w:rPr>
        <w:t xml:space="preserve"> udział przedsiębiorstwa, agencje rządowe i parlamentarzyści z danego państwa </w:t>
      </w:r>
      <w:r w:rsidRPr="00C66B5F">
        <w:rPr>
          <w:bCs/>
          <w:sz w:val="24"/>
          <w:szCs w:val="24"/>
        </w:rPr>
        <w:t>trzeciego. Ambasady i konsulaty mogą zebrać</w:t>
      </w:r>
      <w:r>
        <w:rPr>
          <w:bCs/>
          <w:sz w:val="24"/>
          <w:szCs w:val="24"/>
        </w:rPr>
        <w:t xml:space="preserve"> przy jednym stole</w:t>
      </w:r>
      <w:r w:rsidRPr="00C66B5F">
        <w:rPr>
          <w:bCs/>
          <w:sz w:val="24"/>
          <w:szCs w:val="24"/>
        </w:rPr>
        <w:t xml:space="preserve"> własne przedsiębiorstwa krajowe </w:t>
      </w:r>
      <w:r>
        <w:rPr>
          <w:bCs/>
          <w:sz w:val="24"/>
          <w:szCs w:val="24"/>
        </w:rPr>
        <w:t>oraz</w:t>
      </w:r>
      <w:r w:rsidRPr="00C66B5F">
        <w:rPr>
          <w:bCs/>
          <w:sz w:val="24"/>
          <w:szCs w:val="24"/>
        </w:rPr>
        <w:t xml:space="preserve"> lokalny</w:t>
      </w:r>
      <w:r>
        <w:rPr>
          <w:bCs/>
          <w:sz w:val="24"/>
          <w:szCs w:val="24"/>
        </w:rPr>
        <w:t>ch</w:t>
      </w:r>
      <w:r w:rsidRPr="00C66B5F">
        <w:rPr>
          <w:bCs/>
          <w:sz w:val="24"/>
          <w:szCs w:val="24"/>
        </w:rPr>
        <w:t xml:space="preserve"> przedsiębiorc</w:t>
      </w:r>
      <w:r>
        <w:rPr>
          <w:bCs/>
          <w:sz w:val="24"/>
          <w:szCs w:val="24"/>
        </w:rPr>
        <w:t>ów</w:t>
      </w:r>
      <w:r w:rsidRPr="00C66B5F">
        <w:rPr>
          <w:bCs/>
          <w:sz w:val="24"/>
          <w:szCs w:val="24"/>
        </w:rPr>
        <w:t xml:space="preserve"> i organizacj</w:t>
      </w:r>
      <w:r>
        <w:rPr>
          <w:bCs/>
          <w:sz w:val="24"/>
          <w:szCs w:val="24"/>
        </w:rPr>
        <w:t>e</w:t>
      </w:r>
      <w:r w:rsidRPr="00A42E41">
        <w:rPr>
          <w:bCs/>
          <w:sz w:val="24"/>
          <w:szCs w:val="24"/>
        </w:rPr>
        <w:t xml:space="preserve"> społeczeństwa obywatelskiego w celu omówienia wszelkich kwestii dotyczących społecznej odpowiedzialności biznesu. Inne państwa członkowskie podkreśliły w </w:t>
      </w:r>
      <w:r>
        <w:rPr>
          <w:bCs/>
          <w:sz w:val="24"/>
          <w:szCs w:val="24"/>
        </w:rPr>
        <w:t>K</w:t>
      </w:r>
      <w:r w:rsidRPr="00A42E41">
        <w:rPr>
          <w:bCs/>
          <w:sz w:val="24"/>
          <w:szCs w:val="24"/>
        </w:rPr>
        <w:t xml:space="preserve">rajowych </w:t>
      </w:r>
      <w:r>
        <w:rPr>
          <w:bCs/>
          <w:sz w:val="24"/>
          <w:szCs w:val="24"/>
        </w:rPr>
        <w:t>P</w:t>
      </w:r>
      <w:r w:rsidRPr="00A42E41">
        <w:rPr>
          <w:bCs/>
          <w:sz w:val="24"/>
          <w:szCs w:val="24"/>
        </w:rPr>
        <w:t xml:space="preserve">lanach </w:t>
      </w:r>
      <w:r>
        <w:rPr>
          <w:bCs/>
          <w:sz w:val="24"/>
          <w:szCs w:val="24"/>
        </w:rPr>
        <w:t>D</w:t>
      </w:r>
      <w:r w:rsidRPr="00A42E41">
        <w:rPr>
          <w:bCs/>
          <w:sz w:val="24"/>
          <w:szCs w:val="24"/>
        </w:rPr>
        <w:t xml:space="preserve">ziałania rolę ambasad i konsulatów w </w:t>
      </w:r>
      <w:r>
        <w:rPr>
          <w:bCs/>
          <w:sz w:val="24"/>
          <w:szCs w:val="24"/>
        </w:rPr>
        <w:t>zachęcaniu</w:t>
      </w:r>
      <w:r w:rsidRPr="00A42E41">
        <w:rPr>
          <w:bCs/>
          <w:sz w:val="24"/>
          <w:szCs w:val="24"/>
        </w:rPr>
        <w:t xml:space="preserve"> krajów trzecich do wsparcia powszechnej międzynarodowej implementacji Wytycznych ONZ oraz powiązanych</w:t>
      </w:r>
      <w:r>
        <w:rPr>
          <w:bCs/>
          <w:sz w:val="24"/>
          <w:szCs w:val="24"/>
        </w:rPr>
        <w:t xml:space="preserve"> z nimi</w:t>
      </w:r>
      <w:r w:rsidRPr="00A42E41">
        <w:rPr>
          <w:bCs/>
          <w:sz w:val="24"/>
          <w:szCs w:val="24"/>
        </w:rPr>
        <w:t xml:space="preserve"> standardów, takich jak Wytyczne OECD dla przedsiębiorstw wielonarodowych. </w:t>
      </w:r>
      <w:r>
        <w:rPr>
          <w:bCs/>
          <w:sz w:val="24"/>
          <w:szCs w:val="24"/>
        </w:rPr>
        <w:t>Z</w:t>
      </w:r>
      <w:r w:rsidRPr="00A42E41">
        <w:rPr>
          <w:bCs/>
          <w:sz w:val="24"/>
          <w:szCs w:val="24"/>
        </w:rPr>
        <w:t xml:space="preserve">a pośrednictwem swoich ambasad i konsulatów </w:t>
      </w:r>
      <w:r>
        <w:rPr>
          <w:bCs/>
          <w:sz w:val="24"/>
          <w:szCs w:val="24"/>
        </w:rPr>
        <w:t>n</w:t>
      </w:r>
      <w:r w:rsidRPr="00A42E41">
        <w:rPr>
          <w:bCs/>
          <w:sz w:val="24"/>
          <w:szCs w:val="24"/>
        </w:rPr>
        <w:t xml:space="preserve">iektóre państwa członkowskie prowadzą doroczne warsztaty dotyczące odpowiedzialnego zarządzania łańcuchem dostaw, </w:t>
      </w:r>
      <w:r>
        <w:rPr>
          <w:bCs/>
          <w:sz w:val="24"/>
          <w:szCs w:val="24"/>
        </w:rPr>
        <w:t xml:space="preserve">kładąc </w:t>
      </w:r>
      <w:r w:rsidRPr="00A42E41">
        <w:rPr>
          <w:bCs/>
          <w:sz w:val="24"/>
          <w:szCs w:val="24"/>
        </w:rPr>
        <w:t>szczególn</w:t>
      </w:r>
      <w:r>
        <w:rPr>
          <w:bCs/>
          <w:sz w:val="24"/>
          <w:szCs w:val="24"/>
        </w:rPr>
        <w:t>y nacisk</w:t>
      </w:r>
      <w:r w:rsidRPr="00A42E41">
        <w:rPr>
          <w:bCs/>
          <w:sz w:val="24"/>
          <w:szCs w:val="24"/>
        </w:rPr>
        <w:t xml:space="preserve"> na małych i średnich przedsiębiorstwach oraz ich lokalnych partnerach biznesowych. Ambasady i konsulaty mo</w:t>
      </w:r>
      <w:r w:rsidRPr="00C66B5F">
        <w:rPr>
          <w:bCs/>
          <w:sz w:val="24"/>
          <w:szCs w:val="24"/>
        </w:rPr>
        <w:t>gą również dokonywać oceny</w:t>
      </w:r>
      <w:r w:rsidRPr="00A42E41">
        <w:rPr>
          <w:bCs/>
          <w:sz w:val="24"/>
          <w:szCs w:val="24"/>
        </w:rPr>
        <w:t xml:space="preserve"> lokalnych partnerów handlowych w zakresie społecznej odpowiedzialności biznesu.</w:t>
      </w:r>
    </w:p>
    <w:p w:rsidR="00591EC1" w:rsidRPr="006B349C" w:rsidRDefault="00591EC1" w:rsidP="00E7396B">
      <w:pPr>
        <w:spacing w:before="120" w:after="120" w:line="240" w:lineRule="auto"/>
        <w:jc w:val="both"/>
        <w:rPr>
          <w:b/>
          <w:bCs/>
          <w:sz w:val="24"/>
          <w:szCs w:val="24"/>
        </w:rPr>
      </w:pPr>
    </w:p>
    <w:p w:rsidR="00591EC1" w:rsidRPr="00FE4290" w:rsidRDefault="00591EC1" w:rsidP="00E7396B">
      <w:pPr>
        <w:spacing w:before="120" w:after="120" w:line="240" w:lineRule="auto"/>
        <w:ind w:left="567"/>
        <w:jc w:val="both"/>
        <w:rPr>
          <w:bCs/>
          <w:i/>
          <w:sz w:val="24"/>
          <w:szCs w:val="24"/>
        </w:rPr>
      </w:pPr>
      <w:r w:rsidRPr="00FE4290">
        <w:rPr>
          <w:bCs/>
          <w:i/>
          <w:sz w:val="24"/>
          <w:szCs w:val="24"/>
        </w:rPr>
        <w:t>Działalność przedsiębiorstw</w:t>
      </w:r>
      <w:r w:rsidRPr="00FE4290">
        <w:rPr>
          <w:i/>
          <w:sz w:val="24"/>
          <w:szCs w:val="24"/>
        </w:rPr>
        <w:t xml:space="preserve"> </w:t>
      </w:r>
      <w:r w:rsidRPr="00FE4290">
        <w:rPr>
          <w:bCs/>
          <w:i/>
          <w:sz w:val="24"/>
          <w:szCs w:val="24"/>
        </w:rPr>
        <w:t>na obszarach dotkniętych konfliktem</w:t>
      </w:r>
    </w:p>
    <w:p w:rsidR="00591EC1" w:rsidRPr="00A42E41" w:rsidRDefault="00591EC1" w:rsidP="00E7396B">
      <w:pPr>
        <w:pStyle w:val="Akapitzlist"/>
        <w:numPr>
          <w:ilvl w:val="0"/>
          <w:numId w:val="19"/>
        </w:numPr>
        <w:spacing w:before="120" w:after="120" w:line="240" w:lineRule="auto"/>
        <w:ind w:left="567"/>
        <w:contextualSpacing w:val="0"/>
        <w:jc w:val="both"/>
        <w:rPr>
          <w:bCs/>
          <w:sz w:val="24"/>
          <w:szCs w:val="24"/>
        </w:rPr>
      </w:pPr>
      <w:r w:rsidRPr="00A42E41">
        <w:rPr>
          <w:bCs/>
          <w:sz w:val="24"/>
          <w:szCs w:val="24"/>
        </w:rPr>
        <w:t xml:space="preserve">Państwa członkowskie mogą zająć się konkretnymi problematycznymi obszarami działalności gospodarczej lub określonymi branżami, w których istnieje szczególnie wysokie ryzyko negatywnego wpływu na prawa człowieka. </w:t>
      </w:r>
      <w:r w:rsidRPr="00B56A43">
        <w:rPr>
          <w:bCs/>
          <w:sz w:val="24"/>
          <w:szCs w:val="24"/>
          <w:u w:val="single"/>
        </w:rPr>
        <w:t xml:space="preserve">Paragraf 27 Rekomendacji </w:t>
      </w:r>
      <w:r w:rsidRPr="00A42E41">
        <w:rPr>
          <w:bCs/>
          <w:sz w:val="24"/>
          <w:szCs w:val="24"/>
        </w:rPr>
        <w:t>podkreśla ważną rolę, jaką pełnią państwa członkowskie w tym zakresie poprzez informowanie odpowiednich przedsiębiorstw. Odnośnie</w:t>
      </w:r>
      <w:r>
        <w:rPr>
          <w:bCs/>
          <w:sz w:val="24"/>
          <w:szCs w:val="24"/>
        </w:rPr>
        <w:t xml:space="preserve"> do</w:t>
      </w:r>
      <w:r w:rsidRPr="00A42E41">
        <w:rPr>
          <w:bCs/>
          <w:sz w:val="24"/>
          <w:szCs w:val="24"/>
        </w:rPr>
        <w:t xml:space="preserve"> obszarów dotkniętych konfliktem, Narzędzie OECD dotyczące świadomości ryzyka dla przedsiębiorstw wielonarodowych na obszarach słabo zarządzanych ma na celu pomóc przedsiębiorstwom, które inwestują w krajach, w których rządy nie chcą lub nie są w stanie przyjąć zobowiązań w zakresie praw człowieka. Instrument ten uzupełniają Wytyczne OECD dotyczące zachowania należytej staranności w zakresie odpowiedzialnych łańcuchów dostaw minerałów z obszarów dotkniętych konfliktami oraz obszarów wysokiego ryzyka, które zawierają szczegółowe zalecenia mające na celu wsparcie przedsiębiorstw w zakresie przestrzegania praw człowieka, </w:t>
      </w:r>
      <w:r>
        <w:rPr>
          <w:bCs/>
          <w:sz w:val="24"/>
          <w:szCs w:val="24"/>
        </w:rPr>
        <w:t>unikania pogłębia</w:t>
      </w:r>
      <w:r w:rsidRPr="00A42E41">
        <w:rPr>
          <w:bCs/>
          <w:sz w:val="24"/>
          <w:szCs w:val="24"/>
        </w:rPr>
        <w:t>nia konflikt</w:t>
      </w:r>
      <w:r>
        <w:rPr>
          <w:bCs/>
          <w:sz w:val="24"/>
          <w:szCs w:val="24"/>
        </w:rPr>
        <w:t>ów</w:t>
      </w:r>
      <w:r w:rsidRPr="00A42E41">
        <w:rPr>
          <w:bCs/>
          <w:sz w:val="24"/>
          <w:szCs w:val="24"/>
        </w:rPr>
        <w:t xml:space="preserve"> poprzez decyzje dotyczące zakupu surowców i praktykę oraz w procesie spełni</w:t>
      </w:r>
      <w:r>
        <w:rPr>
          <w:bCs/>
          <w:sz w:val="24"/>
          <w:szCs w:val="24"/>
        </w:rPr>
        <w:t>a</w:t>
      </w:r>
      <w:r w:rsidRPr="00A42E41">
        <w:rPr>
          <w:bCs/>
          <w:sz w:val="24"/>
          <w:szCs w:val="24"/>
        </w:rPr>
        <w:t>nia wymogów należytej staranności. Na szczeblu Unii Europejskiej kryteria, które muszą zostać spełnione przez importerów i eksporterów surowca diamentowego</w:t>
      </w:r>
      <w:r>
        <w:rPr>
          <w:bCs/>
          <w:sz w:val="24"/>
          <w:szCs w:val="24"/>
        </w:rPr>
        <w:t xml:space="preserve">, </w:t>
      </w:r>
      <w:r w:rsidRPr="00A42E41">
        <w:rPr>
          <w:bCs/>
          <w:sz w:val="24"/>
          <w:szCs w:val="24"/>
        </w:rPr>
        <w:t>określa</w:t>
      </w:r>
      <w:r>
        <w:rPr>
          <w:bCs/>
          <w:sz w:val="24"/>
          <w:szCs w:val="24"/>
        </w:rPr>
        <w:t xml:space="preserve"> tzw.</w:t>
      </w:r>
      <w:r w:rsidRPr="00A42E41">
        <w:rPr>
          <w:bCs/>
          <w:sz w:val="24"/>
          <w:szCs w:val="24"/>
        </w:rPr>
        <w:t xml:space="preserve"> </w:t>
      </w:r>
      <w:r>
        <w:rPr>
          <w:bCs/>
          <w:sz w:val="24"/>
          <w:szCs w:val="24"/>
        </w:rPr>
        <w:t>r</w:t>
      </w:r>
      <w:r w:rsidRPr="00A42E41">
        <w:rPr>
          <w:bCs/>
          <w:sz w:val="24"/>
          <w:szCs w:val="24"/>
        </w:rPr>
        <w:t>ozporządzanie</w:t>
      </w:r>
      <w:r w:rsidRPr="00A42E41">
        <w:rPr>
          <w:sz w:val="24"/>
          <w:szCs w:val="24"/>
        </w:rPr>
        <w:t xml:space="preserve"> </w:t>
      </w:r>
      <w:r>
        <w:rPr>
          <w:bCs/>
          <w:sz w:val="24"/>
          <w:szCs w:val="24"/>
        </w:rPr>
        <w:t xml:space="preserve">w sprawie </w:t>
      </w:r>
      <w:r w:rsidRPr="00A42E41">
        <w:rPr>
          <w:bCs/>
          <w:sz w:val="24"/>
          <w:szCs w:val="24"/>
        </w:rPr>
        <w:t>krwawy</w:t>
      </w:r>
      <w:r>
        <w:rPr>
          <w:bCs/>
          <w:sz w:val="24"/>
          <w:szCs w:val="24"/>
        </w:rPr>
        <w:t>ch</w:t>
      </w:r>
      <w:r w:rsidRPr="00A42E41">
        <w:rPr>
          <w:bCs/>
          <w:sz w:val="24"/>
          <w:szCs w:val="24"/>
        </w:rPr>
        <w:t xml:space="preserve"> diament</w:t>
      </w:r>
      <w:r>
        <w:rPr>
          <w:bCs/>
          <w:sz w:val="24"/>
          <w:szCs w:val="24"/>
        </w:rPr>
        <w:t>ów</w:t>
      </w:r>
      <w:r w:rsidRPr="00A42E41">
        <w:rPr>
          <w:bCs/>
          <w:sz w:val="24"/>
          <w:szCs w:val="24"/>
        </w:rPr>
        <w:t xml:space="preserve"> (oryg. </w:t>
      </w:r>
      <w:proofErr w:type="spellStart"/>
      <w:r w:rsidRPr="00842DFD">
        <w:rPr>
          <w:bCs/>
          <w:i/>
          <w:sz w:val="24"/>
          <w:szCs w:val="24"/>
        </w:rPr>
        <w:t>blood</w:t>
      </w:r>
      <w:proofErr w:type="spellEnd"/>
      <w:r w:rsidRPr="00842DFD">
        <w:rPr>
          <w:bCs/>
          <w:i/>
          <w:sz w:val="24"/>
          <w:szCs w:val="24"/>
        </w:rPr>
        <w:t xml:space="preserve"> </w:t>
      </w:r>
      <w:proofErr w:type="spellStart"/>
      <w:r w:rsidRPr="00842DFD">
        <w:rPr>
          <w:bCs/>
          <w:i/>
          <w:sz w:val="24"/>
          <w:szCs w:val="24"/>
        </w:rPr>
        <w:t>diamond</w:t>
      </w:r>
      <w:proofErr w:type="spellEnd"/>
      <w:r w:rsidRPr="00A42E41">
        <w:rPr>
          <w:bCs/>
          <w:sz w:val="24"/>
          <w:szCs w:val="24"/>
        </w:rPr>
        <w:t>).</w:t>
      </w:r>
      <w:r w:rsidRPr="00A42E41">
        <w:rPr>
          <w:rStyle w:val="Odwoanieprzypisukocowego"/>
          <w:bCs/>
          <w:sz w:val="24"/>
          <w:szCs w:val="24"/>
        </w:rPr>
        <w:endnoteReference w:id="17"/>
      </w:r>
      <w:r w:rsidRPr="00A42E41">
        <w:rPr>
          <w:bCs/>
          <w:sz w:val="24"/>
          <w:szCs w:val="24"/>
        </w:rPr>
        <w:t xml:space="preserve"> W tym kontekście warto przy</w:t>
      </w:r>
      <w:r>
        <w:rPr>
          <w:bCs/>
          <w:sz w:val="24"/>
          <w:szCs w:val="24"/>
        </w:rPr>
        <w:t>pomnieć komentarz do zasady</w:t>
      </w:r>
      <w:r w:rsidRPr="00A42E41">
        <w:rPr>
          <w:bCs/>
          <w:sz w:val="24"/>
          <w:szCs w:val="24"/>
        </w:rPr>
        <w:t xml:space="preserve"> 12 Wytycznych ONZ</w:t>
      </w:r>
      <w:r>
        <w:rPr>
          <w:bCs/>
          <w:sz w:val="24"/>
          <w:szCs w:val="24"/>
        </w:rPr>
        <w:t>, który</w:t>
      </w:r>
      <w:r w:rsidRPr="00A42E41">
        <w:rPr>
          <w:bCs/>
          <w:sz w:val="24"/>
          <w:szCs w:val="24"/>
        </w:rPr>
        <w:t xml:space="preserve"> stanowi</w:t>
      </w:r>
      <w:r>
        <w:rPr>
          <w:bCs/>
          <w:sz w:val="24"/>
          <w:szCs w:val="24"/>
        </w:rPr>
        <w:t xml:space="preserve">, że </w:t>
      </w:r>
      <w:r w:rsidRPr="00A42E41">
        <w:rPr>
          <w:bCs/>
          <w:sz w:val="24"/>
          <w:szCs w:val="24"/>
        </w:rPr>
        <w:t>w sytuacjach konfliktu zbrojnego przedsiębiorstwa powinny przestrzegać standardów międzynarodowego prawa humanitarnego.</w:t>
      </w:r>
    </w:p>
    <w:p w:rsidR="00591EC1" w:rsidRPr="00A42E41" w:rsidRDefault="00591EC1" w:rsidP="00E7396B">
      <w:pPr>
        <w:spacing w:before="120" w:after="120" w:line="240" w:lineRule="auto"/>
        <w:jc w:val="both"/>
        <w:rPr>
          <w:bCs/>
          <w:sz w:val="24"/>
          <w:szCs w:val="24"/>
        </w:rPr>
      </w:pPr>
    </w:p>
    <w:p w:rsidR="00591EC1" w:rsidRPr="00FE4290" w:rsidRDefault="00591EC1" w:rsidP="00E7396B">
      <w:pPr>
        <w:spacing w:before="120" w:after="120" w:line="240" w:lineRule="auto"/>
        <w:ind w:left="567"/>
        <w:jc w:val="both"/>
        <w:rPr>
          <w:bCs/>
          <w:i/>
          <w:sz w:val="24"/>
          <w:szCs w:val="24"/>
        </w:rPr>
      </w:pPr>
      <w:r w:rsidRPr="00FE4290">
        <w:rPr>
          <w:bCs/>
          <w:i/>
          <w:sz w:val="24"/>
          <w:szCs w:val="24"/>
        </w:rPr>
        <w:t>Zalecenia dotyczące poszczególnych sektorów</w:t>
      </w:r>
    </w:p>
    <w:p w:rsidR="00591EC1" w:rsidRPr="00A42E41" w:rsidRDefault="00591EC1" w:rsidP="00E7396B">
      <w:pPr>
        <w:pStyle w:val="Akapitzlist"/>
        <w:numPr>
          <w:ilvl w:val="0"/>
          <w:numId w:val="19"/>
        </w:numPr>
        <w:spacing w:before="120" w:after="120" w:line="240" w:lineRule="auto"/>
        <w:ind w:left="567"/>
        <w:contextualSpacing w:val="0"/>
        <w:jc w:val="both"/>
        <w:rPr>
          <w:bCs/>
          <w:sz w:val="24"/>
          <w:szCs w:val="24"/>
        </w:rPr>
      </w:pPr>
      <w:r w:rsidRPr="00A42E41">
        <w:rPr>
          <w:bCs/>
          <w:sz w:val="24"/>
          <w:szCs w:val="24"/>
        </w:rPr>
        <w:t xml:space="preserve">W związku z zaleceniami dotyczącymi poszczególnych sektorów w zakresie Wytycznych ONZ Komisja Europejska opracowała dokument zawierający wytyczne dla </w:t>
      </w:r>
      <w:r w:rsidRPr="00A42E41">
        <w:rPr>
          <w:bCs/>
          <w:sz w:val="24"/>
          <w:szCs w:val="24"/>
        </w:rPr>
        <w:lastRenderedPageBreak/>
        <w:t xml:space="preserve">przedsiębiorstw w zakresie ich </w:t>
      </w:r>
      <w:r w:rsidRPr="000C0F24">
        <w:rPr>
          <w:bCs/>
          <w:sz w:val="24"/>
          <w:szCs w:val="24"/>
        </w:rPr>
        <w:t>odpowiedzialności za poszanowanie praw człowieka, w</w:t>
      </w:r>
      <w:r w:rsidRPr="00A42E41">
        <w:rPr>
          <w:bCs/>
          <w:sz w:val="24"/>
          <w:szCs w:val="24"/>
        </w:rPr>
        <w:t xml:space="preserve"> szczególności dla trzech sektorów </w:t>
      </w:r>
      <w:r>
        <w:rPr>
          <w:bCs/>
          <w:sz w:val="24"/>
          <w:szCs w:val="24"/>
        </w:rPr>
        <w:t>gospodarki</w:t>
      </w:r>
      <w:r w:rsidRPr="00A42E41">
        <w:rPr>
          <w:bCs/>
          <w:sz w:val="24"/>
          <w:szCs w:val="24"/>
        </w:rPr>
        <w:t xml:space="preserve"> (technologii informacyjnych i komunikacyjnych</w:t>
      </w:r>
      <w:r>
        <w:rPr>
          <w:bCs/>
          <w:sz w:val="24"/>
          <w:szCs w:val="24"/>
        </w:rPr>
        <w:t>,</w:t>
      </w:r>
      <w:r w:rsidRPr="00A42E41">
        <w:rPr>
          <w:bCs/>
          <w:sz w:val="24"/>
          <w:szCs w:val="24"/>
        </w:rPr>
        <w:t xml:space="preserve"> ropy i gazu oraz zatrudnienia i agencji pośrednictwa pracy), jak również przewodnik dla małych i średnich przedsiębiorstw. </w:t>
      </w:r>
      <w:r>
        <w:rPr>
          <w:bCs/>
          <w:sz w:val="24"/>
          <w:szCs w:val="24"/>
        </w:rPr>
        <w:t>W</w:t>
      </w:r>
      <w:r w:rsidRPr="00A42E41">
        <w:rPr>
          <w:bCs/>
          <w:sz w:val="24"/>
          <w:szCs w:val="24"/>
        </w:rPr>
        <w:t xml:space="preserve"> ramach Krajowych Planów Działania </w:t>
      </w:r>
      <w:r>
        <w:rPr>
          <w:bCs/>
          <w:sz w:val="24"/>
          <w:szCs w:val="24"/>
        </w:rPr>
        <w:t>p</w:t>
      </w:r>
      <w:r w:rsidRPr="00A42E41">
        <w:rPr>
          <w:bCs/>
          <w:sz w:val="24"/>
          <w:szCs w:val="24"/>
        </w:rPr>
        <w:t xml:space="preserve">aństwa członkowskie mogą opracować konkretne działania przewidziane </w:t>
      </w:r>
      <w:r>
        <w:rPr>
          <w:bCs/>
          <w:sz w:val="24"/>
          <w:szCs w:val="24"/>
        </w:rPr>
        <w:t>dla</w:t>
      </w:r>
      <w:r w:rsidRPr="00A42E41">
        <w:rPr>
          <w:bCs/>
          <w:sz w:val="24"/>
          <w:szCs w:val="24"/>
        </w:rPr>
        <w:t xml:space="preserve"> tych dziedzin i sektor</w:t>
      </w:r>
      <w:r>
        <w:rPr>
          <w:bCs/>
          <w:sz w:val="24"/>
          <w:szCs w:val="24"/>
        </w:rPr>
        <w:t>ów</w:t>
      </w:r>
      <w:r w:rsidRPr="00A42E41">
        <w:rPr>
          <w:bCs/>
          <w:sz w:val="24"/>
          <w:szCs w:val="24"/>
        </w:rPr>
        <w:t>, w których istnieje szczególne ryzyko naruszenia praw człowieka.</w:t>
      </w:r>
    </w:p>
    <w:p w:rsidR="00591EC1" w:rsidRPr="007E71DC" w:rsidRDefault="00591EC1" w:rsidP="00E7396B">
      <w:pPr>
        <w:spacing w:before="120" w:after="120" w:line="240" w:lineRule="auto"/>
        <w:jc w:val="both"/>
        <w:rPr>
          <w:bCs/>
          <w:sz w:val="24"/>
          <w:szCs w:val="24"/>
        </w:rPr>
      </w:pPr>
    </w:p>
    <w:p w:rsidR="00591EC1" w:rsidRPr="00FE4290" w:rsidRDefault="00591EC1" w:rsidP="00E7396B">
      <w:pPr>
        <w:spacing w:before="120" w:after="120" w:line="240" w:lineRule="auto"/>
        <w:ind w:left="567"/>
        <w:jc w:val="both"/>
        <w:rPr>
          <w:bCs/>
          <w:i/>
          <w:sz w:val="24"/>
          <w:szCs w:val="24"/>
        </w:rPr>
      </w:pPr>
      <w:r w:rsidRPr="00FE4290">
        <w:rPr>
          <w:bCs/>
          <w:i/>
          <w:sz w:val="24"/>
          <w:szCs w:val="24"/>
        </w:rPr>
        <w:t>Szkolenia w zakresie biznesu i praw człowieka dla urzędników państwowych</w:t>
      </w:r>
    </w:p>
    <w:p w:rsidR="00591EC1" w:rsidRPr="00A42E41" w:rsidRDefault="00591EC1" w:rsidP="00E7396B">
      <w:pPr>
        <w:pStyle w:val="Akapitzlist"/>
        <w:numPr>
          <w:ilvl w:val="0"/>
          <w:numId w:val="19"/>
        </w:numPr>
        <w:spacing w:before="120" w:after="120" w:line="240" w:lineRule="auto"/>
        <w:ind w:left="567"/>
        <w:contextualSpacing w:val="0"/>
        <w:jc w:val="both"/>
        <w:rPr>
          <w:bCs/>
          <w:sz w:val="24"/>
          <w:szCs w:val="24"/>
        </w:rPr>
      </w:pPr>
      <w:r w:rsidRPr="000C0F24">
        <w:rPr>
          <w:bCs/>
          <w:sz w:val="24"/>
          <w:szCs w:val="24"/>
          <w:u w:val="single"/>
        </w:rPr>
        <w:t>Paragraf 29 Rekomendacji</w:t>
      </w:r>
      <w:r w:rsidRPr="00A42E41">
        <w:rPr>
          <w:bCs/>
          <w:sz w:val="24"/>
          <w:szCs w:val="24"/>
        </w:rPr>
        <w:t xml:space="preserve"> zachęca państwa członkowskie, aby zapewniały szkolenia w zakresie biznesu i praw człowieka dla urzędników państwowych, którzy wykonują zadania istotne w </w:t>
      </w:r>
      <w:r>
        <w:rPr>
          <w:bCs/>
          <w:sz w:val="24"/>
          <w:szCs w:val="24"/>
        </w:rPr>
        <w:t>kontekście</w:t>
      </w:r>
      <w:r w:rsidRPr="00A42E41">
        <w:rPr>
          <w:bCs/>
          <w:sz w:val="24"/>
          <w:szCs w:val="24"/>
        </w:rPr>
        <w:t xml:space="preserve"> odpowiedzialności przedsiębiorstw, na przykład dla personelu placówek dyplomatycznych i konsularnych w krajach trzecich o trudnej sytuacji w zakresie praw człowieka. </w:t>
      </w:r>
      <w:r>
        <w:rPr>
          <w:bCs/>
          <w:sz w:val="24"/>
          <w:szCs w:val="24"/>
        </w:rPr>
        <w:t>Część</w:t>
      </w:r>
      <w:r w:rsidRPr="00A42E41">
        <w:rPr>
          <w:bCs/>
          <w:sz w:val="24"/>
          <w:szCs w:val="24"/>
        </w:rPr>
        <w:t xml:space="preserve"> państw członkowski</w:t>
      </w:r>
      <w:r>
        <w:rPr>
          <w:bCs/>
          <w:sz w:val="24"/>
          <w:szCs w:val="24"/>
        </w:rPr>
        <w:t>ch</w:t>
      </w:r>
      <w:r w:rsidRPr="00A42E41">
        <w:rPr>
          <w:bCs/>
          <w:sz w:val="24"/>
          <w:szCs w:val="24"/>
        </w:rPr>
        <w:t xml:space="preserve"> Rady Europy, któr</w:t>
      </w:r>
      <w:r>
        <w:rPr>
          <w:bCs/>
          <w:sz w:val="24"/>
          <w:szCs w:val="24"/>
        </w:rPr>
        <w:t>a</w:t>
      </w:r>
      <w:r w:rsidRPr="00A42E41">
        <w:rPr>
          <w:bCs/>
          <w:sz w:val="24"/>
          <w:szCs w:val="24"/>
        </w:rPr>
        <w:t xml:space="preserve"> wdrożył</w:t>
      </w:r>
      <w:r>
        <w:rPr>
          <w:bCs/>
          <w:sz w:val="24"/>
          <w:szCs w:val="24"/>
        </w:rPr>
        <w:t>a</w:t>
      </w:r>
      <w:r w:rsidRPr="00A42E41">
        <w:rPr>
          <w:bCs/>
          <w:sz w:val="24"/>
          <w:szCs w:val="24"/>
        </w:rPr>
        <w:t xml:space="preserve"> już Krajowe Plany Działania</w:t>
      </w:r>
      <w:r>
        <w:rPr>
          <w:bCs/>
          <w:sz w:val="24"/>
          <w:szCs w:val="24"/>
        </w:rPr>
        <w:t>,</w:t>
      </w:r>
      <w:r w:rsidRPr="00A42E41">
        <w:rPr>
          <w:bCs/>
          <w:sz w:val="24"/>
          <w:szCs w:val="24"/>
        </w:rPr>
        <w:t xml:space="preserve"> poinformował</w:t>
      </w:r>
      <w:r>
        <w:rPr>
          <w:bCs/>
          <w:sz w:val="24"/>
          <w:szCs w:val="24"/>
        </w:rPr>
        <w:t>a o</w:t>
      </w:r>
      <w:r w:rsidRPr="00A42E41">
        <w:rPr>
          <w:bCs/>
          <w:sz w:val="24"/>
          <w:szCs w:val="24"/>
        </w:rPr>
        <w:t xml:space="preserve"> stworz</w:t>
      </w:r>
      <w:r>
        <w:rPr>
          <w:bCs/>
          <w:sz w:val="24"/>
          <w:szCs w:val="24"/>
        </w:rPr>
        <w:t>eniu</w:t>
      </w:r>
      <w:r w:rsidRPr="00A42E41">
        <w:rPr>
          <w:bCs/>
          <w:sz w:val="24"/>
          <w:szCs w:val="24"/>
        </w:rPr>
        <w:t xml:space="preserve"> dla personelu dyplomatycznego i konsularnego szczegółow</w:t>
      </w:r>
      <w:r>
        <w:rPr>
          <w:bCs/>
          <w:sz w:val="24"/>
          <w:szCs w:val="24"/>
        </w:rPr>
        <w:t>ej</w:t>
      </w:r>
      <w:r w:rsidRPr="00A42E41">
        <w:rPr>
          <w:bCs/>
          <w:sz w:val="24"/>
          <w:szCs w:val="24"/>
        </w:rPr>
        <w:t xml:space="preserve"> informacj</w:t>
      </w:r>
      <w:r>
        <w:rPr>
          <w:bCs/>
          <w:sz w:val="24"/>
          <w:szCs w:val="24"/>
        </w:rPr>
        <w:t>i na temat</w:t>
      </w:r>
      <w:r w:rsidRPr="00A42E41">
        <w:rPr>
          <w:bCs/>
          <w:sz w:val="24"/>
          <w:szCs w:val="24"/>
        </w:rPr>
        <w:t xml:space="preserve"> biznesu i praw człowieka, w której </w:t>
      </w:r>
      <w:r>
        <w:rPr>
          <w:bCs/>
          <w:sz w:val="24"/>
          <w:szCs w:val="24"/>
        </w:rPr>
        <w:t>z</w:t>
      </w:r>
      <w:r w:rsidRPr="00A42E41">
        <w:rPr>
          <w:bCs/>
          <w:sz w:val="24"/>
          <w:szCs w:val="24"/>
        </w:rPr>
        <w:t>identyfik</w:t>
      </w:r>
      <w:r>
        <w:rPr>
          <w:bCs/>
          <w:sz w:val="24"/>
          <w:szCs w:val="24"/>
        </w:rPr>
        <w:t>owano także</w:t>
      </w:r>
      <w:r w:rsidRPr="00A42E41">
        <w:rPr>
          <w:bCs/>
          <w:sz w:val="24"/>
          <w:szCs w:val="24"/>
        </w:rPr>
        <w:t xml:space="preserve"> zagrożenia dla poszczególnych krajów. Ponadto jako przykład możliwych dobrych praktyk wymieniono specjalistyczne szkolenia dla personelu dyplomatycznego i konsularnego </w:t>
      </w:r>
      <w:r>
        <w:rPr>
          <w:bCs/>
          <w:sz w:val="24"/>
          <w:szCs w:val="24"/>
        </w:rPr>
        <w:t>oddelegowanego</w:t>
      </w:r>
      <w:r w:rsidRPr="00A42E41">
        <w:rPr>
          <w:bCs/>
          <w:sz w:val="24"/>
          <w:szCs w:val="24"/>
        </w:rPr>
        <w:t xml:space="preserve"> do poszczególnych krajów lub stworzenie platformy szkoleń e-learning</w:t>
      </w:r>
      <w:r>
        <w:rPr>
          <w:bCs/>
          <w:sz w:val="24"/>
          <w:szCs w:val="24"/>
        </w:rPr>
        <w:t>owych</w:t>
      </w:r>
      <w:r w:rsidRPr="00A42E41">
        <w:rPr>
          <w:bCs/>
          <w:sz w:val="24"/>
          <w:szCs w:val="24"/>
        </w:rPr>
        <w:t xml:space="preserve"> albo zestawu narzędzi dla urzędników działających na szczeblu międzynarodowym i w instytucjach wdrażających.</w:t>
      </w:r>
    </w:p>
    <w:p w:rsidR="00591EC1" w:rsidRPr="00A42E41" w:rsidRDefault="00591EC1" w:rsidP="00E7396B">
      <w:pPr>
        <w:pStyle w:val="Akapitzlist"/>
        <w:numPr>
          <w:ilvl w:val="0"/>
          <w:numId w:val="19"/>
        </w:numPr>
        <w:spacing w:before="120" w:after="120" w:line="240" w:lineRule="auto"/>
        <w:ind w:left="567"/>
        <w:contextualSpacing w:val="0"/>
        <w:jc w:val="both"/>
        <w:rPr>
          <w:bCs/>
          <w:sz w:val="24"/>
          <w:szCs w:val="24"/>
        </w:rPr>
      </w:pPr>
      <w:r w:rsidRPr="00A42E41">
        <w:rPr>
          <w:bCs/>
          <w:sz w:val="24"/>
          <w:szCs w:val="24"/>
        </w:rPr>
        <w:t>Oferując takie szkoleni</w:t>
      </w:r>
      <w:r>
        <w:rPr>
          <w:bCs/>
          <w:sz w:val="24"/>
          <w:szCs w:val="24"/>
        </w:rPr>
        <w:t>a</w:t>
      </w:r>
      <w:r w:rsidRPr="00A42E41">
        <w:rPr>
          <w:bCs/>
          <w:sz w:val="24"/>
          <w:szCs w:val="24"/>
        </w:rPr>
        <w:t>, państwa członkowskie mogą chcieć skorzystać z europejskiego programu edukacyjnego w zakresie praw człowieka dla prawników (HELP</w:t>
      </w:r>
      <w:r>
        <w:rPr>
          <w:bCs/>
          <w:sz w:val="24"/>
          <w:szCs w:val="24"/>
        </w:rPr>
        <w:t>), którego</w:t>
      </w:r>
      <w:r w:rsidRPr="00A42E41">
        <w:rPr>
          <w:bCs/>
          <w:sz w:val="24"/>
          <w:szCs w:val="24"/>
        </w:rPr>
        <w:t xml:space="preserve"> cel</w:t>
      </w:r>
      <w:r>
        <w:rPr>
          <w:bCs/>
          <w:sz w:val="24"/>
          <w:szCs w:val="24"/>
        </w:rPr>
        <w:t>em jest</w:t>
      </w:r>
      <w:r w:rsidRPr="00A42E41">
        <w:rPr>
          <w:bCs/>
          <w:sz w:val="24"/>
          <w:szCs w:val="24"/>
        </w:rPr>
        <w:t xml:space="preserve"> </w:t>
      </w:r>
      <w:r>
        <w:rPr>
          <w:bCs/>
          <w:sz w:val="24"/>
          <w:szCs w:val="24"/>
        </w:rPr>
        <w:t xml:space="preserve">podniesienie kompetencji </w:t>
      </w:r>
      <w:r w:rsidRPr="00A42E41">
        <w:rPr>
          <w:bCs/>
          <w:sz w:val="24"/>
          <w:szCs w:val="24"/>
        </w:rPr>
        <w:t>sędziów, prawników i prokuratorów we wszystkich 47 państwach członkowskich w zakresie stosowania</w:t>
      </w:r>
      <w:r>
        <w:rPr>
          <w:bCs/>
          <w:sz w:val="24"/>
          <w:szCs w:val="24"/>
        </w:rPr>
        <w:t xml:space="preserve"> </w:t>
      </w:r>
      <w:r w:rsidRPr="00A42E41">
        <w:rPr>
          <w:bCs/>
          <w:sz w:val="24"/>
          <w:szCs w:val="24"/>
        </w:rPr>
        <w:t>w ich codziennej pracy Konwencji o ochronie praw człowieka i podstawowych wolności</w:t>
      </w:r>
      <w:r>
        <w:rPr>
          <w:bCs/>
          <w:sz w:val="24"/>
          <w:szCs w:val="24"/>
        </w:rPr>
        <w:t>.</w:t>
      </w:r>
      <w:r w:rsidRPr="00A42E41">
        <w:rPr>
          <w:bCs/>
          <w:sz w:val="24"/>
          <w:szCs w:val="24"/>
        </w:rPr>
        <w:t xml:space="preserve"> </w:t>
      </w:r>
      <w:r>
        <w:rPr>
          <w:bCs/>
          <w:sz w:val="24"/>
          <w:szCs w:val="24"/>
        </w:rPr>
        <w:t>W ramach programu opracowano</w:t>
      </w:r>
      <w:r w:rsidRPr="00A42E41">
        <w:rPr>
          <w:bCs/>
          <w:sz w:val="24"/>
          <w:szCs w:val="24"/>
        </w:rPr>
        <w:t xml:space="preserve"> szkolenie w dziedzinie praw człowieka i biznesu</w:t>
      </w:r>
      <w:r>
        <w:rPr>
          <w:bCs/>
          <w:sz w:val="24"/>
          <w:szCs w:val="24"/>
        </w:rPr>
        <w:t>, które</w:t>
      </w:r>
      <w:r w:rsidRPr="00A42E41">
        <w:rPr>
          <w:bCs/>
          <w:sz w:val="24"/>
          <w:szCs w:val="24"/>
        </w:rPr>
        <w:t xml:space="preserve"> koncentruje się na trzech filarach Wytycznych ONZ oraz na odpowiednim orzecznictwie Europejskiego Trybunału Praw Człowieka. Szkolenie zostanie przetestowan</w:t>
      </w:r>
      <w:r>
        <w:rPr>
          <w:bCs/>
          <w:sz w:val="24"/>
          <w:szCs w:val="24"/>
        </w:rPr>
        <w:t>e</w:t>
      </w:r>
      <w:r w:rsidRPr="00A42E41">
        <w:rPr>
          <w:bCs/>
          <w:sz w:val="24"/>
          <w:szCs w:val="24"/>
        </w:rPr>
        <w:t xml:space="preserve"> w Wielkiej Brytanii, Włoszech oraz Rosji</w:t>
      </w:r>
      <w:r>
        <w:rPr>
          <w:bCs/>
          <w:sz w:val="24"/>
          <w:szCs w:val="24"/>
        </w:rPr>
        <w:t>.</w:t>
      </w:r>
      <w:r w:rsidRPr="00A42E41">
        <w:rPr>
          <w:bCs/>
          <w:sz w:val="24"/>
          <w:szCs w:val="24"/>
        </w:rPr>
        <w:t xml:space="preserve"> Inne państwa członkowskie wyraziły już zainteresowanie</w:t>
      </w:r>
      <w:r>
        <w:rPr>
          <w:bCs/>
          <w:sz w:val="24"/>
          <w:szCs w:val="24"/>
        </w:rPr>
        <w:t xml:space="preserve"> jego</w:t>
      </w:r>
      <w:r w:rsidRPr="00A42E41">
        <w:rPr>
          <w:bCs/>
          <w:sz w:val="24"/>
          <w:szCs w:val="24"/>
        </w:rPr>
        <w:t xml:space="preserve"> wprowadzeniem dla przedstawicieli zawodów prawniczych w 2015-2016 r.</w:t>
      </w:r>
    </w:p>
    <w:p w:rsidR="00591EC1" w:rsidRPr="00A42E41" w:rsidRDefault="00591EC1" w:rsidP="00E7396B">
      <w:pPr>
        <w:pStyle w:val="Akapitzlist"/>
        <w:spacing w:before="120" w:after="120" w:line="240" w:lineRule="auto"/>
        <w:ind w:left="1080"/>
        <w:contextualSpacing w:val="0"/>
        <w:jc w:val="both"/>
        <w:rPr>
          <w:bCs/>
          <w:sz w:val="24"/>
          <w:szCs w:val="24"/>
        </w:rPr>
      </w:pPr>
    </w:p>
    <w:p w:rsidR="00591EC1" w:rsidRDefault="00591EC1" w:rsidP="00E7396B">
      <w:pPr>
        <w:pStyle w:val="Akapitzlist"/>
        <w:numPr>
          <w:ilvl w:val="0"/>
          <w:numId w:val="31"/>
        </w:numPr>
        <w:spacing w:before="120" w:after="120" w:line="240" w:lineRule="auto"/>
        <w:contextualSpacing w:val="0"/>
        <w:jc w:val="both"/>
        <w:rPr>
          <w:b/>
          <w:bCs/>
          <w:sz w:val="24"/>
          <w:szCs w:val="24"/>
        </w:rPr>
      </w:pPr>
      <w:r w:rsidRPr="00A42E41">
        <w:rPr>
          <w:b/>
          <w:bCs/>
          <w:sz w:val="24"/>
          <w:szCs w:val="24"/>
        </w:rPr>
        <w:t>Dostęp do środków zaradczych</w:t>
      </w:r>
    </w:p>
    <w:p w:rsidR="00277B72" w:rsidRPr="00A42E41" w:rsidRDefault="00277B72" w:rsidP="00277B72">
      <w:pPr>
        <w:pStyle w:val="Akapitzlist"/>
        <w:spacing w:before="120" w:after="120" w:line="240" w:lineRule="auto"/>
        <w:ind w:left="567"/>
        <w:contextualSpacing w:val="0"/>
        <w:jc w:val="both"/>
        <w:rPr>
          <w:b/>
          <w:bCs/>
          <w:sz w:val="24"/>
          <w:szCs w:val="24"/>
        </w:rPr>
      </w:pPr>
    </w:p>
    <w:p w:rsidR="00591EC1" w:rsidRDefault="00591EC1" w:rsidP="00E7396B">
      <w:pPr>
        <w:pStyle w:val="Akapitzlist"/>
        <w:numPr>
          <w:ilvl w:val="0"/>
          <w:numId w:val="19"/>
        </w:numPr>
        <w:spacing w:before="120" w:after="120" w:line="240" w:lineRule="auto"/>
        <w:ind w:left="567"/>
        <w:contextualSpacing w:val="0"/>
        <w:jc w:val="both"/>
        <w:rPr>
          <w:bCs/>
          <w:sz w:val="24"/>
          <w:szCs w:val="24"/>
        </w:rPr>
      </w:pPr>
      <w:r w:rsidRPr="004F49EB">
        <w:rPr>
          <w:bCs/>
          <w:sz w:val="24"/>
          <w:szCs w:val="24"/>
        </w:rPr>
        <w:t xml:space="preserve">Rozdział IV Rekomendacji ma na celu ułatwienie wdrażania trzeciego filaru (Dostęp do środków zaradczych) Wytycznych ONZ. </w:t>
      </w:r>
      <w:r>
        <w:rPr>
          <w:bCs/>
          <w:sz w:val="24"/>
          <w:szCs w:val="24"/>
        </w:rPr>
        <w:t>Z</w:t>
      </w:r>
      <w:r w:rsidRPr="004F49EB">
        <w:rPr>
          <w:bCs/>
          <w:sz w:val="24"/>
          <w:szCs w:val="24"/>
        </w:rPr>
        <w:t>asada</w:t>
      </w:r>
      <w:r>
        <w:rPr>
          <w:bCs/>
          <w:sz w:val="24"/>
          <w:szCs w:val="24"/>
        </w:rPr>
        <w:t xml:space="preserve"> podstawowa nr</w:t>
      </w:r>
      <w:r w:rsidRPr="004F49EB">
        <w:rPr>
          <w:bCs/>
          <w:sz w:val="24"/>
          <w:szCs w:val="24"/>
        </w:rPr>
        <w:t xml:space="preserve"> 25 Wytycznych ONZ stanowi</w:t>
      </w:r>
      <w:r>
        <w:rPr>
          <w:bCs/>
          <w:sz w:val="24"/>
          <w:szCs w:val="24"/>
        </w:rPr>
        <w:t>, że „</w:t>
      </w:r>
      <w:r w:rsidRPr="004F49EB">
        <w:rPr>
          <w:bCs/>
          <w:sz w:val="24"/>
          <w:szCs w:val="24"/>
        </w:rPr>
        <w:t>w ramach obowiązku ochrony przed naruszeniami praw człowieka w związku z działalnością przedsiębiorstw państwa muszą podjąć odpowiednie kroki, aby, jeśli naruszenia takie mają miejsce na ich terytorium i/lub w obrębie ich jurysdykcji, tym, których dotknie takie naruszenie, zapewnić, poprzez odpowiednie środki i mechanizmy sądowe, administracyjne, legislacyjne i inne, dostęp do skutecznych środków zaradczych i naprawczych”. Podobnie jak Wytyczne ONZ, niniejsza Rekomendacja rozróżnia środki sądowe (podrozdział a., który</w:t>
      </w:r>
      <w:r w:rsidRPr="00A42E41">
        <w:rPr>
          <w:bCs/>
          <w:sz w:val="24"/>
          <w:szCs w:val="24"/>
        </w:rPr>
        <w:t xml:space="preserve"> dodatkowo wyróżnia </w:t>
      </w:r>
      <w:r w:rsidRPr="00A42E41">
        <w:rPr>
          <w:bCs/>
          <w:sz w:val="24"/>
          <w:szCs w:val="24"/>
        </w:rPr>
        <w:lastRenderedPageBreak/>
        <w:t xml:space="preserve">odpowiedzialność cywilną i </w:t>
      </w:r>
      <w:r w:rsidRPr="004F49EB">
        <w:rPr>
          <w:bCs/>
          <w:sz w:val="24"/>
          <w:szCs w:val="24"/>
        </w:rPr>
        <w:t>karną lub</w:t>
      </w:r>
      <w:r>
        <w:rPr>
          <w:bCs/>
          <w:sz w:val="24"/>
          <w:szCs w:val="24"/>
        </w:rPr>
        <w:t xml:space="preserve"> równoważną</w:t>
      </w:r>
      <w:r w:rsidRPr="004F49EB">
        <w:rPr>
          <w:bCs/>
          <w:sz w:val="24"/>
          <w:szCs w:val="24"/>
        </w:rPr>
        <w:t>)</w:t>
      </w:r>
      <w:r w:rsidRPr="00A42E41">
        <w:rPr>
          <w:bCs/>
          <w:sz w:val="24"/>
          <w:szCs w:val="24"/>
        </w:rPr>
        <w:t xml:space="preserve"> i pozasądowe (podrozdział b., który</w:t>
      </w:r>
      <w:r>
        <w:rPr>
          <w:bCs/>
          <w:sz w:val="24"/>
          <w:szCs w:val="24"/>
        </w:rPr>
        <w:t xml:space="preserve"> zawiera postanowienia </w:t>
      </w:r>
      <w:r w:rsidRPr="00A42E41">
        <w:rPr>
          <w:bCs/>
          <w:sz w:val="24"/>
          <w:szCs w:val="24"/>
        </w:rPr>
        <w:t>skierowane zarówno do państwowych</w:t>
      </w:r>
      <w:r>
        <w:rPr>
          <w:bCs/>
          <w:sz w:val="24"/>
          <w:szCs w:val="24"/>
        </w:rPr>
        <w:t>,</w:t>
      </w:r>
      <w:r w:rsidRPr="00A42E41">
        <w:rPr>
          <w:bCs/>
          <w:sz w:val="24"/>
          <w:szCs w:val="24"/>
        </w:rPr>
        <w:t xml:space="preserve"> jak i niepaństwowych mechanizmów rozpatrywania skarg).</w:t>
      </w:r>
    </w:p>
    <w:p w:rsidR="00277B72" w:rsidRDefault="00277B72" w:rsidP="00277B72">
      <w:pPr>
        <w:pStyle w:val="Akapitzlist"/>
        <w:spacing w:before="120" w:after="120" w:line="240" w:lineRule="auto"/>
        <w:ind w:left="567"/>
        <w:contextualSpacing w:val="0"/>
        <w:jc w:val="both"/>
        <w:rPr>
          <w:bCs/>
          <w:sz w:val="24"/>
          <w:szCs w:val="24"/>
        </w:rPr>
      </w:pPr>
    </w:p>
    <w:p w:rsidR="00591EC1" w:rsidRPr="00A42E41" w:rsidRDefault="00591EC1" w:rsidP="00E7396B">
      <w:pPr>
        <w:pStyle w:val="Akapitzlist"/>
        <w:numPr>
          <w:ilvl w:val="1"/>
          <w:numId w:val="19"/>
        </w:numPr>
        <w:spacing w:before="120" w:after="120" w:line="240" w:lineRule="auto"/>
        <w:ind w:left="1134" w:hanging="283"/>
        <w:contextualSpacing w:val="0"/>
        <w:jc w:val="both"/>
        <w:rPr>
          <w:b/>
          <w:bCs/>
          <w:sz w:val="24"/>
          <w:szCs w:val="24"/>
        </w:rPr>
      </w:pPr>
      <w:r w:rsidRPr="00A42E41">
        <w:rPr>
          <w:b/>
          <w:bCs/>
          <w:sz w:val="24"/>
          <w:szCs w:val="24"/>
        </w:rPr>
        <w:t>Dostęp do mechanizmów sądowych</w:t>
      </w:r>
    </w:p>
    <w:p w:rsidR="00591EC1" w:rsidRPr="00A42E41" w:rsidRDefault="00591EC1" w:rsidP="00E7396B">
      <w:pPr>
        <w:spacing w:before="120" w:after="120" w:line="240" w:lineRule="auto"/>
        <w:ind w:firstLine="708"/>
        <w:jc w:val="both"/>
        <w:rPr>
          <w:bCs/>
          <w:i/>
          <w:sz w:val="24"/>
          <w:szCs w:val="24"/>
        </w:rPr>
      </w:pPr>
      <w:r w:rsidRPr="00A42E41">
        <w:rPr>
          <w:bCs/>
          <w:i/>
          <w:sz w:val="24"/>
          <w:szCs w:val="24"/>
        </w:rPr>
        <w:t>Art. 6 i art. 13 Konwencji o ochronie praw człowieka i podstawowych wolności</w:t>
      </w:r>
    </w:p>
    <w:p w:rsidR="00591EC1" w:rsidRPr="00A42E41" w:rsidRDefault="00591EC1" w:rsidP="00E7396B">
      <w:pPr>
        <w:pStyle w:val="Akapitzlist"/>
        <w:numPr>
          <w:ilvl w:val="0"/>
          <w:numId w:val="19"/>
        </w:numPr>
        <w:spacing w:before="120" w:after="120" w:line="240" w:lineRule="auto"/>
        <w:ind w:left="567"/>
        <w:contextualSpacing w:val="0"/>
        <w:jc w:val="both"/>
        <w:rPr>
          <w:bCs/>
          <w:sz w:val="24"/>
          <w:szCs w:val="24"/>
        </w:rPr>
      </w:pPr>
      <w:r w:rsidRPr="00A42E41">
        <w:rPr>
          <w:bCs/>
          <w:sz w:val="24"/>
          <w:szCs w:val="24"/>
        </w:rPr>
        <w:t>Dostęp do środków sądowych ma dwojaki wymiar</w:t>
      </w:r>
      <w:r>
        <w:rPr>
          <w:bCs/>
          <w:sz w:val="24"/>
          <w:szCs w:val="24"/>
        </w:rPr>
        <w:t xml:space="preserve"> na</w:t>
      </w:r>
      <w:r w:rsidRPr="00A42E41">
        <w:rPr>
          <w:bCs/>
          <w:sz w:val="24"/>
          <w:szCs w:val="24"/>
        </w:rPr>
        <w:t xml:space="preserve"> mocy Konwencji o ochronie praw człowieka i podstawowych wolności. Podczas gdy art. 6 ust. 1 Konwencji gwarantuje każdemu dostęp</w:t>
      </w:r>
      <w:r>
        <w:rPr>
          <w:bCs/>
          <w:sz w:val="24"/>
          <w:szCs w:val="24"/>
        </w:rPr>
        <w:t xml:space="preserve"> do sądu „p</w:t>
      </w:r>
      <w:r w:rsidRPr="00A42E41">
        <w:rPr>
          <w:bCs/>
          <w:sz w:val="24"/>
          <w:szCs w:val="24"/>
        </w:rPr>
        <w:t>rzy rozstrzyganiu o jego prawach i obowiązkach o charakterze cywilnym</w:t>
      </w:r>
      <w:r>
        <w:rPr>
          <w:bCs/>
          <w:sz w:val="24"/>
          <w:szCs w:val="24"/>
        </w:rPr>
        <w:t>”</w:t>
      </w:r>
      <w:r w:rsidRPr="00A42E41">
        <w:rPr>
          <w:bCs/>
          <w:sz w:val="24"/>
          <w:szCs w:val="24"/>
        </w:rPr>
        <w:t>,</w:t>
      </w:r>
      <w:r w:rsidRPr="00A42E41">
        <w:rPr>
          <w:rStyle w:val="Odwoanieprzypisukocowego"/>
          <w:bCs/>
          <w:sz w:val="24"/>
          <w:szCs w:val="24"/>
        </w:rPr>
        <w:endnoteReference w:id="18"/>
      </w:r>
      <w:r w:rsidRPr="00A42E41">
        <w:rPr>
          <w:bCs/>
          <w:sz w:val="24"/>
          <w:szCs w:val="24"/>
        </w:rPr>
        <w:t xml:space="preserve"> art. 13 Konwencji gwarantuje każdemu, </w:t>
      </w:r>
      <w:r>
        <w:rPr>
          <w:bCs/>
          <w:sz w:val="24"/>
          <w:szCs w:val="24"/>
        </w:rPr>
        <w:t>kogo</w:t>
      </w:r>
      <w:r w:rsidRPr="00A42E41">
        <w:rPr>
          <w:bCs/>
          <w:sz w:val="24"/>
          <w:szCs w:val="24"/>
        </w:rPr>
        <w:t xml:space="preserve"> prawa i wolności wynikające z Konwencji zostały naruszone,</w:t>
      </w:r>
      <w:r>
        <w:rPr>
          <w:bCs/>
          <w:sz w:val="24"/>
          <w:szCs w:val="24"/>
        </w:rPr>
        <w:t xml:space="preserve"> prawo</w:t>
      </w:r>
      <w:r w:rsidRPr="00A42E41">
        <w:rPr>
          <w:bCs/>
          <w:sz w:val="24"/>
          <w:szCs w:val="24"/>
        </w:rPr>
        <w:t xml:space="preserve"> do skutecznego środka odwoławczego do właściwego organu państwowego. Gwarancje dostępu do sądu można znaleźć również w innych standardach praw człowieka, w szczególności w art. 10 Powszechnej Deklaracji Praw Człowieka, art. 14 Międzynarodowego Paktu Praw Obywatelskich i Politycznych oraz art. 47 Karty Praw Podstawowych Unii Europejskiej. </w:t>
      </w:r>
      <w:r w:rsidRPr="00240FCB">
        <w:rPr>
          <w:bCs/>
          <w:sz w:val="24"/>
          <w:szCs w:val="24"/>
          <w:u w:val="single"/>
        </w:rPr>
        <w:t>Paragraf 31 Rekomendacji</w:t>
      </w:r>
      <w:r w:rsidRPr="00A42E41">
        <w:rPr>
          <w:bCs/>
          <w:sz w:val="24"/>
          <w:szCs w:val="24"/>
        </w:rPr>
        <w:t xml:space="preserve"> przypomina państwom członkowskim o ich prawnym obowiązku zapewnienia skutecznej realizacji tych praw, również gdy domniemane naruszenie wynika z działalności przedsiębiorstwa.</w:t>
      </w:r>
    </w:p>
    <w:p w:rsidR="00591EC1" w:rsidRPr="00A42E41" w:rsidRDefault="00591EC1" w:rsidP="00E7396B">
      <w:pPr>
        <w:pStyle w:val="Akapitzlist"/>
        <w:numPr>
          <w:ilvl w:val="0"/>
          <w:numId w:val="19"/>
        </w:numPr>
        <w:spacing w:before="120" w:after="120" w:line="240" w:lineRule="auto"/>
        <w:ind w:left="567"/>
        <w:contextualSpacing w:val="0"/>
        <w:jc w:val="both"/>
        <w:rPr>
          <w:bCs/>
          <w:sz w:val="24"/>
          <w:szCs w:val="24"/>
        </w:rPr>
      </w:pPr>
      <w:r w:rsidRPr="00A42E41">
        <w:rPr>
          <w:bCs/>
          <w:sz w:val="24"/>
          <w:szCs w:val="24"/>
        </w:rPr>
        <w:t xml:space="preserve">Chociaż art. 6 Konwencji przyznaje szereg gwarancji sądowych w celu zapewnienia oskarżonemu rzetelnego procesu karnego, prawa dostępu do sądu na podstawie </w:t>
      </w:r>
      <w:r w:rsidRPr="00240FCB">
        <w:rPr>
          <w:bCs/>
          <w:sz w:val="24"/>
          <w:szCs w:val="24"/>
        </w:rPr>
        <w:t>tego przepisu nie stosuje się do postępowań zmierzających do wszczęcia postępowania karnego przeciwko</w:t>
      </w:r>
      <w:r w:rsidRPr="00A42E41">
        <w:rPr>
          <w:bCs/>
          <w:sz w:val="24"/>
          <w:szCs w:val="24"/>
        </w:rPr>
        <w:t xml:space="preserve"> osobom trzecim, w tym przedsiębiorstwom.</w:t>
      </w:r>
      <w:r w:rsidRPr="00A42E41">
        <w:rPr>
          <w:rStyle w:val="Odwoanieprzypisukocowego"/>
          <w:bCs/>
          <w:sz w:val="24"/>
          <w:szCs w:val="24"/>
        </w:rPr>
        <w:endnoteReference w:id="19"/>
      </w:r>
      <w:r>
        <w:rPr>
          <w:bCs/>
          <w:sz w:val="24"/>
          <w:szCs w:val="24"/>
        </w:rPr>
        <w:t xml:space="preserve"> W konsekwencji „</w:t>
      </w:r>
      <w:r w:rsidRPr="00A42E41">
        <w:rPr>
          <w:bCs/>
          <w:sz w:val="24"/>
          <w:szCs w:val="24"/>
        </w:rPr>
        <w:t>aspekt karny</w:t>
      </w:r>
      <w:r>
        <w:rPr>
          <w:bCs/>
          <w:sz w:val="24"/>
          <w:szCs w:val="24"/>
        </w:rPr>
        <w:t>”</w:t>
      </w:r>
      <w:r w:rsidRPr="00A42E41">
        <w:rPr>
          <w:bCs/>
          <w:sz w:val="24"/>
          <w:szCs w:val="24"/>
        </w:rPr>
        <w:t xml:space="preserve"> art. 6 Konwencji dotyczy wyłącznie zarzutów przeciwko osobie.</w:t>
      </w:r>
    </w:p>
    <w:p w:rsidR="00591EC1" w:rsidRPr="00A42E41" w:rsidRDefault="00591EC1" w:rsidP="00E7396B">
      <w:pPr>
        <w:pStyle w:val="Akapitzlist"/>
        <w:numPr>
          <w:ilvl w:val="0"/>
          <w:numId w:val="19"/>
        </w:numPr>
        <w:spacing w:before="120" w:after="120" w:line="240" w:lineRule="auto"/>
        <w:ind w:left="567"/>
        <w:contextualSpacing w:val="0"/>
        <w:jc w:val="both"/>
        <w:rPr>
          <w:bCs/>
          <w:sz w:val="24"/>
          <w:szCs w:val="24"/>
        </w:rPr>
      </w:pPr>
      <w:r w:rsidRPr="00A42E41">
        <w:rPr>
          <w:bCs/>
          <w:sz w:val="24"/>
          <w:szCs w:val="24"/>
        </w:rPr>
        <w:t>W odniesieniu do art. 13 Konwencji n</w:t>
      </w:r>
      <w:r>
        <w:rPr>
          <w:bCs/>
          <w:sz w:val="24"/>
          <w:szCs w:val="24"/>
        </w:rPr>
        <w:t>ależy zauważyć, że jego treść („</w:t>
      </w:r>
      <w:r w:rsidRPr="00A42E41">
        <w:rPr>
          <w:bCs/>
          <w:sz w:val="24"/>
          <w:szCs w:val="24"/>
        </w:rPr>
        <w:t>także wówczas, gdy naruszenia dokonały osoby wykonujące swoje funkcje urzędowe</w:t>
      </w:r>
      <w:r>
        <w:rPr>
          <w:bCs/>
          <w:sz w:val="24"/>
          <w:szCs w:val="24"/>
        </w:rPr>
        <w:t>”</w:t>
      </w:r>
      <w:r w:rsidRPr="00A42E41">
        <w:rPr>
          <w:bCs/>
          <w:sz w:val="24"/>
          <w:szCs w:val="24"/>
        </w:rPr>
        <w:t xml:space="preserve">) </w:t>
      </w:r>
      <w:r>
        <w:rPr>
          <w:bCs/>
          <w:sz w:val="24"/>
          <w:szCs w:val="24"/>
        </w:rPr>
        <w:t>nie wywarła znaczącego wpływu na orzecznictwo</w:t>
      </w:r>
      <w:r w:rsidRPr="00A42E41">
        <w:rPr>
          <w:bCs/>
          <w:sz w:val="24"/>
          <w:szCs w:val="24"/>
        </w:rPr>
        <w:t xml:space="preserve"> Trybunału i nie może być stosowana jako argument na korzyść dla strony trzeciej, na przykład w stosunku do firm prywatnych.</w:t>
      </w:r>
      <w:r w:rsidRPr="00A42E41">
        <w:rPr>
          <w:rStyle w:val="Odwoanieprzypisukocowego"/>
          <w:bCs/>
          <w:sz w:val="24"/>
          <w:szCs w:val="24"/>
        </w:rPr>
        <w:endnoteReference w:id="20"/>
      </w:r>
      <w:r>
        <w:rPr>
          <w:bCs/>
          <w:sz w:val="24"/>
          <w:szCs w:val="24"/>
        </w:rPr>
        <w:t xml:space="preserve"> Ponieważ </w:t>
      </w:r>
      <w:r w:rsidRPr="00240FCB">
        <w:rPr>
          <w:bCs/>
          <w:sz w:val="24"/>
          <w:szCs w:val="24"/>
        </w:rPr>
        <w:t xml:space="preserve">art. 13 Konwencji </w:t>
      </w:r>
      <w:r>
        <w:rPr>
          <w:bCs/>
          <w:sz w:val="24"/>
          <w:szCs w:val="24"/>
        </w:rPr>
        <w:t>gwarantuje prawo</w:t>
      </w:r>
      <w:r w:rsidRPr="00A42E41">
        <w:rPr>
          <w:bCs/>
          <w:sz w:val="24"/>
          <w:szCs w:val="24"/>
        </w:rPr>
        <w:t xml:space="preserve"> do skutecznego środka odwoławczego, może być </w:t>
      </w:r>
      <w:r>
        <w:rPr>
          <w:bCs/>
          <w:sz w:val="24"/>
          <w:szCs w:val="24"/>
        </w:rPr>
        <w:t xml:space="preserve">on jedynie </w:t>
      </w:r>
      <w:r w:rsidRPr="00A42E41">
        <w:rPr>
          <w:bCs/>
          <w:sz w:val="24"/>
          <w:szCs w:val="24"/>
        </w:rPr>
        <w:t>naruszony przez państwo, a nie przez podmiot</w:t>
      </w:r>
      <w:r w:rsidRPr="00A42E41">
        <w:rPr>
          <w:sz w:val="24"/>
          <w:szCs w:val="24"/>
        </w:rPr>
        <w:t xml:space="preserve"> </w:t>
      </w:r>
      <w:r w:rsidRPr="00A42E41">
        <w:rPr>
          <w:bCs/>
          <w:sz w:val="24"/>
          <w:szCs w:val="24"/>
        </w:rPr>
        <w:t>prywatny.</w:t>
      </w:r>
    </w:p>
    <w:p w:rsidR="00591EC1" w:rsidRPr="00A42E41" w:rsidRDefault="00591EC1" w:rsidP="00E7396B">
      <w:pPr>
        <w:pStyle w:val="Akapitzlist"/>
        <w:spacing w:before="120" w:after="120" w:line="240" w:lineRule="auto"/>
        <w:ind w:left="1080"/>
        <w:contextualSpacing w:val="0"/>
        <w:jc w:val="both"/>
        <w:rPr>
          <w:bCs/>
          <w:sz w:val="24"/>
          <w:szCs w:val="24"/>
        </w:rPr>
      </w:pPr>
    </w:p>
    <w:p w:rsidR="00591EC1" w:rsidRPr="00A42E41" w:rsidRDefault="00591EC1" w:rsidP="00E7396B">
      <w:pPr>
        <w:pStyle w:val="Akapitzlist"/>
        <w:numPr>
          <w:ilvl w:val="0"/>
          <w:numId w:val="27"/>
        </w:numPr>
        <w:spacing w:before="120" w:after="120" w:line="240" w:lineRule="auto"/>
        <w:ind w:left="1134" w:hanging="425"/>
        <w:contextualSpacing w:val="0"/>
        <w:jc w:val="both"/>
        <w:rPr>
          <w:b/>
          <w:bCs/>
          <w:i/>
          <w:sz w:val="24"/>
          <w:szCs w:val="24"/>
        </w:rPr>
      </w:pPr>
      <w:r w:rsidRPr="00A42E41">
        <w:rPr>
          <w:b/>
          <w:bCs/>
          <w:i/>
          <w:sz w:val="24"/>
          <w:szCs w:val="24"/>
        </w:rPr>
        <w:t xml:space="preserve">Odpowiedzialność cywilna za związane z działalnością gospodarczą naruszenie praw człowieka </w:t>
      </w:r>
    </w:p>
    <w:p w:rsidR="00591EC1" w:rsidRPr="005D4749" w:rsidRDefault="00591EC1" w:rsidP="00E7396B">
      <w:pPr>
        <w:spacing w:before="120" w:after="120" w:line="240" w:lineRule="auto"/>
        <w:ind w:left="567"/>
        <w:jc w:val="both"/>
        <w:rPr>
          <w:bCs/>
          <w:i/>
          <w:sz w:val="24"/>
          <w:szCs w:val="24"/>
        </w:rPr>
      </w:pPr>
      <w:r w:rsidRPr="005D4749">
        <w:rPr>
          <w:bCs/>
          <w:i/>
          <w:sz w:val="24"/>
          <w:szCs w:val="24"/>
        </w:rPr>
        <w:t>Odpowiedzialność cywilna za naruszenia praw człowieka przez przedsiębiorstwa</w:t>
      </w:r>
    </w:p>
    <w:p w:rsidR="00591EC1" w:rsidRPr="00967FAE" w:rsidRDefault="00591EC1" w:rsidP="00E7396B">
      <w:pPr>
        <w:pStyle w:val="Akapitzlist"/>
        <w:numPr>
          <w:ilvl w:val="0"/>
          <w:numId w:val="19"/>
        </w:numPr>
        <w:spacing w:before="120" w:after="120" w:line="240" w:lineRule="auto"/>
        <w:ind w:left="567"/>
        <w:contextualSpacing w:val="0"/>
        <w:jc w:val="both"/>
        <w:rPr>
          <w:bCs/>
          <w:sz w:val="24"/>
          <w:szCs w:val="24"/>
        </w:rPr>
      </w:pPr>
      <w:r w:rsidRPr="001A226A">
        <w:rPr>
          <w:bCs/>
          <w:sz w:val="24"/>
          <w:szCs w:val="24"/>
        </w:rPr>
        <w:t>Paragraf</w:t>
      </w:r>
      <w:r w:rsidRPr="005D4749">
        <w:rPr>
          <w:bCs/>
          <w:sz w:val="24"/>
          <w:szCs w:val="24"/>
          <w:u w:val="single"/>
        </w:rPr>
        <w:t xml:space="preserve"> 32 Rekomendacji</w:t>
      </w:r>
      <w:r w:rsidRPr="005D4749">
        <w:rPr>
          <w:bCs/>
          <w:sz w:val="24"/>
          <w:szCs w:val="24"/>
        </w:rPr>
        <w:t xml:space="preserve"> stanowi, że państwa członkowskie powinny stosować takie środki ustawodawcze lub inne, jakie mogą okazać się konieczne w celu zapewnienia, że naruszenia praw człowieka spowodowane przez przedsiębiorstwa działające w obrębie ich jurysdykcji dają podstawę do pociągnięcia ich do odpowiedzialności cywilnej na mocy odpowiednich przepisów prawa. W przypadku wystąpienia takich naruszeń państwa członkowskie powinny zapewnić odpowiedzialność cywilną przedsiębiorstw i odpowiednie środki prawne, z których mogą skorzystać domniemane ofiary. Jeżeli uznają to za konieczne, państwa członkowskie powinny również zbadać możliwość ustanowienia nowych podstaw prawnych powództw cywilnych przeciwko przedsiębiorstwom, które naruszają prawa człowieka poprzez nieprzeprowadzenie </w:t>
      </w:r>
      <w:r w:rsidRPr="005D4749">
        <w:rPr>
          <w:bCs/>
          <w:sz w:val="24"/>
          <w:szCs w:val="24"/>
        </w:rPr>
        <w:lastRenderedPageBreak/>
        <w:t>odpowiednich procesów należytej staranności w celu zapobieżenia zagroże</w:t>
      </w:r>
      <w:r>
        <w:rPr>
          <w:bCs/>
          <w:sz w:val="24"/>
          <w:szCs w:val="24"/>
        </w:rPr>
        <w:t>niom</w:t>
      </w:r>
      <w:r w:rsidRPr="005D4749">
        <w:rPr>
          <w:bCs/>
          <w:sz w:val="24"/>
          <w:szCs w:val="24"/>
        </w:rPr>
        <w:t xml:space="preserve"> w zakresie praw człowieka</w:t>
      </w:r>
      <w:r>
        <w:rPr>
          <w:bCs/>
          <w:sz w:val="24"/>
          <w:szCs w:val="24"/>
        </w:rPr>
        <w:t xml:space="preserve"> lub ich zmniejszenia</w:t>
      </w:r>
      <w:r w:rsidRPr="005D4749">
        <w:rPr>
          <w:bCs/>
          <w:sz w:val="24"/>
          <w:szCs w:val="24"/>
        </w:rPr>
        <w:t>. Przyjmuje się, że określenie „w obrębie ich jurysdykcji</w:t>
      </w:r>
      <w:r>
        <w:rPr>
          <w:bCs/>
          <w:sz w:val="24"/>
          <w:szCs w:val="24"/>
        </w:rPr>
        <w:t xml:space="preserve">” </w:t>
      </w:r>
      <w:r w:rsidRPr="005D4749">
        <w:rPr>
          <w:bCs/>
          <w:sz w:val="24"/>
          <w:szCs w:val="24"/>
        </w:rPr>
        <w:t xml:space="preserve">odnosi się do siedziby przedsiębiorstw, o których mowa. Rozumie się ponadto, że termin „spowodowane” należy interpretować zgodnie z właściwymi przepisami prawa krajowego </w:t>
      </w:r>
      <w:r>
        <w:rPr>
          <w:bCs/>
          <w:sz w:val="24"/>
          <w:szCs w:val="24"/>
        </w:rPr>
        <w:t>i</w:t>
      </w:r>
      <w:r w:rsidRPr="005D4749">
        <w:rPr>
          <w:bCs/>
          <w:sz w:val="24"/>
          <w:szCs w:val="24"/>
        </w:rPr>
        <w:t xml:space="preserve"> może</w:t>
      </w:r>
      <w:r>
        <w:rPr>
          <w:bCs/>
          <w:sz w:val="24"/>
          <w:szCs w:val="24"/>
        </w:rPr>
        <w:t xml:space="preserve"> on</w:t>
      </w:r>
      <w:r w:rsidRPr="005D4749">
        <w:rPr>
          <w:bCs/>
          <w:sz w:val="24"/>
          <w:szCs w:val="24"/>
        </w:rPr>
        <w:t xml:space="preserve"> obejmować udział w naruszeniu praw człowieka w takim stopniu, który,</w:t>
      </w:r>
      <w:r w:rsidRPr="005D4749">
        <w:rPr>
          <w:sz w:val="24"/>
          <w:szCs w:val="24"/>
        </w:rPr>
        <w:t xml:space="preserve"> </w:t>
      </w:r>
      <w:r w:rsidRPr="005D4749">
        <w:rPr>
          <w:bCs/>
          <w:sz w:val="24"/>
          <w:szCs w:val="24"/>
        </w:rPr>
        <w:t>zgodnie z prawem krajowym państwa członkowskiego, spełnia przesłanki szczególnej formy uczestnictwa.</w:t>
      </w:r>
    </w:p>
    <w:p w:rsidR="00591EC1" w:rsidRPr="00A42E41" w:rsidRDefault="00591EC1" w:rsidP="00E7396B">
      <w:pPr>
        <w:pStyle w:val="Akapitzlist"/>
        <w:numPr>
          <w:ilvl w:val="0"/>
          <w:numId w:val="19"/>
        </w:numPr>
        <w:spacing w:before="120" w:after="120" w:line="240" w:lineRule="auto"/>
        <w:ind w:left="567"/>
        <w:contextualSpacing w:val="0"/>
        <w:jc w:val="both"/>
        <w:rPr>
          <w:bCs/>
          <w:sz w:val="24"/>
          <w:szCs w:val="24"/>
        </w:rPr>
      </w:pPr>
      <w:r w:rsidRPr="00F42F06">
        <w:rPr>
          <w:bCs/>
          <w:sz w:val="24"/>
          <w:szCs w:val="24"/>
          <w:u w:val="single"/>
        </w:rPr>
        <w:t>Paragraf 34 Rekomendacji</w:t>
      </w:r>
      <w:r w:rsidRPr="00A42E41">
        <w:rPr>
          <w:bCs/>
          <w:sz w:val="24"/>
          <w:szCs w:val="24"/>
        </w:rPr>
        <w:t xml:space="preserve"> stanowi, że państwa członkowskie powinny stosować takie środki ustawodawcze oraz inne, które mogą okazać się konieczne w celu zapewnienia, że ich sądy krajowe będą właściwe w sprawie roszczeń cywilnych dotyczących naruszeń praw człowieka związanych z biznesem przeciwko przedsiębiorstwom, które mają siedzibę w obrębie ich jurysdykcji. Ten aspekt ma szczególne znaczenie, ponieważ domniemane ofiary naruszeń</w:t>
      </w:r>
      <w:r>
        <w:rPr>
          <w:bCs/>
          <w:sz w:val="24"/>
          <w:szCs w:val="24"/>
        </w:rPr>
        <w:t xml:space="preserve"> praw człowieka</w:t>
      </w:r>
      <w:r w:rsidRPr="00A42E41">
        <w:rPr>
          <w:bCs/>
          <w:sz w:val="24"/>
          <w:szCs w:val="24"/>
        </w:rPr>
        <w:t xml:space="preserve"> często napotykają przeszkody w sądach państw trzecich, </w:t>
      </w:r>
      <w:r>
        <w:rPr>
          <w:bCs/>
          <w:sz w:val="24"/>
          <w:szCs w:val="24"/>
        </w:rPr>
        <w:t>na terenie których</w:t>
      </w:r>
      <w:r w:rsidRPr="00A42E41">
        <w:rPr>
          <w:bCs/>
          <w:sz w:val="24"/>
          <w:szCs w:val="24"/>
        </w:rPr>
        <w:t xml:space="preserve"> nastąpiło zarzucane naruszenie, co powoduje, że sądy krajowe państwa, w którym pozwane przedsiębiorstw</w:t>
      </w:r>
      <w:r>
        <w:rPr>
          <w:bCs/>
          <w:sz w:val="24"/>
          <w:szCs w:val="24"/>
        </w:rPr>
        <w:t>o</w:t>
      </w:r>
      <w:r w:rsidRPr="00A42E41">
        <w:rPr>
          <w:bCs/>
          <w:sz w:val="24"/>
          <w:szCs w:val="24"/>
        </w:rPr>
        <w:t xml:space="preserve"> ma swoją siedzibę</w:t>
      </w:r>
      <w:r>
        <w:rPr>
          <w:bCs/>
          <w:sz w:val="24"/>
          <w:szCs w:val="24"/>
        </w:rPr>
        <w:t>,</w:t>
      </w:r>
      <w:r w:rsidRPr="00A42E41">
        <w:rPr>
          <w:bCs/>
          <w:sz w:val="24"/>
          <w:szCs w:val="24"/>
        </w:rPr>
        <w:t xml:space="preserve"> dają jedyną możliwoś</w:t>
      </w:r>
      <w:r>
        <w:rPr>
          <w:bCs/>
          <w:sz w:val="24"/>
          <w:szCs w:val="24"/>
        </w:rPr>
        <w:t>ć</w:t>
      </w:r>
      <w:r w:rsidRPr="00A42E41">
        <w:rPr>
          <w:bCs/>
          <w:sz w:val="24"/>
          <w:szCs w:val="24"/>
        </w:rPr>
        <w:t xml:space="preserve">, </w:t>
      </w:r>
      <w:r w:rsidRPr="00F42F06">
        <w:rPr>
          <w:bCs/>
          <w:sz w:val="24"/>
          <w:szCs w:val="24"/>
        </w:rPr>
        <w:t>aby zaradzić takim naruszeniom</w:t>
      </w:r>
      <w:r w:rsidRPr="00A42E41">
        <w:rPr>
          <w:bCs/>
          <w:sz w:val="24"/>
          <w:szCs w:val="24"/>
        </w:rPr>
        <w:t xml:space="preserve">. </w:t>
      </w:r>
      <w:r w:rsidRPr="00F42F06">
        <w:rPr>
          <w:bCs/>
          <w:sz w:val="24"/>
          <w:szCs w:val="24"/>
          <w:u w:val="single"/>
        </w:rPr>
        <w:t>Paragrafy od 33 do 43 Rekomendacji</w:t>
      </w:r>
      <w:r w:rsidRPr="00A42E41">
        <w:rPr>
          <w:bCs/>
          <w:sz w:val="24"/>
          <w:szCs w:val="24"/>
        </w:rPr>
        <w:t xml:space="preserve"> przedstawiają konkretne propozycje, jak usunąć typowe przeszkody</w:t>
      </w:r>
      <w:r>
        <w:rPr>
          <w:bCs/>
          <w:sz w:val="24"/>
          <w:szCs w:val="24"/>
        </w:rPr>
        <w:t>,</w:t>
      </w:r>
      <w:r w:rsidRPr="00A42E41">
        <w:rPr>
          <w:bCs/>
          <w:sz w:val="24"/>
          <w:szCs w:val="24"/>
        </w:rPr>
        <w:t xml:space="preserve"> przed którymi mogą stanąć ofiary narusze</w:t>
      </w:r>
      <w:r>
        <w:rPr>
          <w:bCs/>
          <w:sz w:val="24"/>
          <w:szCs w:val="24"/>
        </w:rPr>
        <w:t>ń</w:t>
      </w:r>
      <w:r w:rsidRPr="00A42E41">
        <w:rPr>
          <w:bCs/>
          <w:sz w:val="24"/>
          <w:szCs w:val="24"/>
        </w:rPr>
        <w:t xml:space="preserve"> praw człowieka związanych z biznesem w sądach krajowych państw członkowskich Rady Europy, gdyby takie roszczenia zostały wniesione przeciwko przedsiębiorstwu </w:t>
      </w:r>
      <w:r w:rsidRPr="00F42F06">
        <w:rPr>
          <w:bCs/>
          <w:sz w:val="24"/>
          <w:szCs w:val="24"/>
        </w:rPr>
        <w:t>za</w:t>
      </w:r>
      <w:r>
        <w:rPr>
          <w:bCs/>
          <w:sz w:val="24"/>
          <w:szCs w:val="24"/>
        </w:rPr>
        <w:t xml:space="preserve"> domniemane</w:t>
      </w:r>
      <w:r w:rsidRPr="00F42F06">
        <w:rPr>
          <w:bCs/>
          <w:sz w:val="24"/>
          <w:szCs w:val="24"/>
        </w:rPr>
        <w:t xml:space="preserve"> naruszenia</w:t>
      </w:r>
      <w:r w:rsidRPr="00A42E41">
        <w:rPr>
          <w:bCs/>
          <w:sz w:val="24"/>
          <w:szCs w:val="24"/>
        </w:rPr>
        <w:t>, które miały miejsce poza Europą.</w:t>
      </w:r>
    </w:p>
    <w:p w:rsidR="00591EC1" w:rsidRPr="00A42E41" w:rsidRDefault="00591EC1" w:rsidP="00E7396B">
      <w:pPr>
        <w:pStyle w:val="Akapitzlist"/>
        <w:numPr>
          <w:ilvl w:val="0"/>
          <w:numId w:val="19"/>
        </w:numPr>
        <w:spacing w:before="120" w:after="120" w:line="240" w:lineRule="auto"/>
        <w:ind w:left="567"/>
        <w:contextualSpacing w:val="0"/>
        <w:jc w:val="both"/>
        <w:rPr>
          <w:bCs/>
          <w:sz w:val="24"/>
          <w:szCs w:val="24"/>
        </w:rPr>
      </w:pPr>
      <w:r w:rsidRPr="00A42E41">
        <w:rPr>
          <w:bCs/>
          <w:sz w:val="24"/>
          <w:szCs w:val="24"/>
        </w:rPr>
        <w:t xml:space="preserve">Kwestie </w:t>
      </w:r>
      <w:r>
        <w:rPr>
          <w:bCs/>
          <w:sz w:val="24"/>
          <w:szCs w:val="24"/>
        </w:rPr>
        <w:t xml:space="preserve">dotyczące </w:t>
      </w:r>
      <w:r w:rsidRPr="00A42E41">
        <w:rPr>
          <w:bCs/>
          <w:sz w:val="24"/>
          <w:szCs w:val="24"/>
        </w:rPr>
        <w:t>właściwości sądu są nieuniknione, w przypadku gdy wielonarodowe przedsiębiorstwa działają na poziomie g</w:t>
      </w:r>
      <w:r>
        <w:rPr>
          <w:bCs/>
          <w:sz w:val="24"/>
          <w:szCs w:val="24"/>
        </w:rPr>
        <w:t>lobalnym. W Europie tak zwany „s</w:t>
      </w:r>
      <w:r w:rsidRPr="00A42E41">
        <w:rPr>
          <w:bCs/>
          <w:sz w:val="24"/>
          <w:szCs w:val="24"/>
        </w:rPr>
        <w:t>ystem brukselski</w:t>
      </w:r>
      <w:r>
        <w:rPr>
          <w:bCs/>
          <w:sz w:val="24"/>
          <w:szCs w:val="24"/>
        </w:rPr>
        <w:t>”</w:t>
      </w:r>
      <w:r w:rsidRPr="00A42E41">
        <w:rPr>
          <w:bCs/>
          <w:sz w:val="24"/>
          <w:szCs w:val="24"/>
        </w:rPr>
        <w:t xml:space="preserve"> służy jako zestaw przepisów regulujących, które sądy są właściwe do rozstrzygania sporów prawnych o charakterze cywilnym lub handlowym między osobami fizycznymi i/lub prawnymi zamieszka</w:t>
      </w:r>
      <w:r>
        <w:rPr>
          <w:bCs/>
          <w:sz w:val="24"/>
          <w:szCs w:val="24"/>
        </w:rPr>
        <w:t>łymi</w:t>
      </w:r>
      <w:r w:rsidRPr="00A42E41">
        <w:rPr>
          <w:bCs/>
          <w:sz w:val="24"/>
          <w:szCs w:val="24"/>
        </w:rPr>
        <w:t xml:space="preserve"> lub </w:t>
      </w:r>
      <w:r>
        <w:rPr>
          <w:bCs/>
          <w:sz w:val="24"/>
          <w:szCs w:val="24"/>
        </w:rPr>
        <w:t>mającymi</w:t>
      </w:r>
      <w:r w:rsidRPr="00A42E41">
        <w:rPr>
          <w:bCs/>
          <w:sz w:val="24"/>
          <w:szCs w:val="24"/>
        </w:rPr>
        <w:t xml:space="preserve"> siedzibę w różnych państwach członkowskich. System zawiera szczegółowe zasady ustalające jurysdykcję właściwego sądu do rozpoznania sprawy i reguluje uznawanie i wykonywanie orzeczeń zagranicznych. Konwencja o jurysdykcji i wykonywaniu orzeczeń sądowych w sprawach cywilnych i handlowych z dnia 30 października 2007 r. (</w:t>
      </w:r>
      <w:r>
        <w:rPr>
          <w:bCs/>
          <w:sz w:val="24"/>
          <w:szCs w:val="24"/>
        </w:rPr>
        <w:t>„</w:t>
      </w:r>
      <w:r w:rsidRPr="00A42E41">
        <w:rPr>
          <w:bCs/>
          <w:sz w:val="24"/>
          <w:szCs w:val="24"/>
        </w:rPr>
        <w:t xml:space="preserve">Konwencja </w:t>
      </w:r>
      <w:r>
        <w:rPr>
          <w:bCs/>
          <w:sz w:val="24"/>
          <w:szCs w:val="24"/>
        </w:rPr>
        <w:t>z Lugano”</w:t>
      </w:r>
      <w:r w:rsidRPr="00A42E41">
        <w:rPr>
          <w:bCs/>
          <w:sz w:val="24"/>
          <w:szCs w:val="24"/>
        </w:rPr>
        <w:t xml:space="preserve">) przenosi zasady </w:t>
      </w:r>
      <w:r>
        <w:rPr>
          <w:bCs/>
          <w:sz w:val="24"/>
          <w:szCs w:val="24"/>
        </w:rPr>
        <w:t xml:space="preserve">dotyczące </w:t>
      </w:r>
      <w:r w:rsidRPr="00A42E41">
        <w:rPr>
          <w:bCs/>
          <w:sz w:val="24"/>
          <w:szCs w:val="24"/>
        </w:rPr>
        <w:t xml:space="preserve">właściwości sądów poza 28 państw członkowskich i obejmuje </w:t>
      </w:r>
      <w:r>
        <w:rPr>
          <w:bCs/>
          <w:sz w:val="24"/>
          <w:szCs w:val="24"/>
        </w:rPr>
        <w:t xml:space="preserve">nimi </w:t>
      </w:r>
      <w:r w:rsidRPr="00A42E41">
        <w:rPr>
          <w:bCs/>
          <w:sz w:val="24"/>
          <w:szCs w:val="24"/>
        </w:rPr>
        <w:t xml:space="preserve">także państwa członkowskie Europejskiego Stowarzyszenia Wolnego Handlu (EFTA), w ten sposób ułatwiając uznawanie i wykonywanie orzeczeń między tymi jurysdykcjami. Konwencja z Lugano jest otwarta dla państw, które nie są członkami Unii Europejskiej i nie ogranicza się tylko do tych, które należą do EFTA. Dlatego </w:t>
      </w:r>
      <w:r w:rsidRPr="00F42F06">
        <w:rPr>
          <w:bCs/>
          <w:sz w:val="24"/>
          <w:szCs w:val="24"/>
          <w:u w:val="single"/>
        </w:rPr>
        <w:t>paragraf 33 Rekomendacji</w:t>
      </w:r>
      <w:r w:rsidRPr="00A42E41">
        <w:rPr>
          <w:bCs/>
          <w:sz w:val="24"/>
          <w:szCs w:val="24"/>
        </w:rPr>
        <w:t xml:space="preserve"> zachęca państwa członkowskie Rady Europy, które jeszcze nie rozpoczęły </w:t>
      </w:r>
      <w:r w:rsidRPr="00F42F06">
        <w:rPr>
          <w:bCs/>
          <w:sz w:val="24"/>
          <w:szCs w:val="24"/>
        </w:rPr>
        <w:t>procedury przystąpienia do Konwencji z Lugano, aby to zrobiły.</w:t>
      </w:r>
      <w:r w:rsidRPr="00A42E41">
        <w:rPr>
          <w:bCs/>
          <w:sz w:val="24"/>
          <w:szCs w:val="24"/>
        </w:rPr>
        <w:t xml:space="preserve"> Procedura przystąpienia została opisana w art. 70 do art. 73 Konwencji. Państwa, które nie są członkami Europejskiego Stowarzyszenia Wolnego Handlu lub Unii Europejskiej</w:t>
      </w:r>
      <w:r>
        <w:rPr>
          <w:bCs/>
          <w:sz w:val="24"/>
          <w:szCs w:val="24"/>
        </w:rPr>
        <w:t>,</w:t>
      </w:r>
      <w:r w:rsidRPr="00A42E41">
        <w:rPr>
          <w:bCs/>
          <w:sz w:val="24"/>
          <w:szCs w:val="24"/>
        </w:rPr>
        <w:t xml:space="preserve"> zostaną zaproszone do przystąpienia </w:t>
      </w:r>
      <w:r>
        <w:rPr>
          <w:bCs/>
          <w:sz w:val="24"/>
          <w:szCs w:val="24"/>
        </w:rPr>
        <w:t xml:space="preserve">do Konwencji </w:t>
      </w:r>
      <w:r w:rsidRPr="00A42E41">
        <w:rPr>
          <w:bCs/>
          <w:sz w:val="24"/>
          <w:szCs w:val="24"/>
        </w:rPr>
        <w:t>po uzyskaniu jednomyślnej zgody Umawiających się Stron</w:t>
      </w:r>
      <w:r>
        <w:rPr>
          <w:bCs/>
          <w:sz w:val="24"/>
          <w:szCs w:val="24"/>
        </w:rPr>
        <w:t xml:space="preserve"> </w:t>
      </w:r>
      <w:r w:rsidRPr="00A42E41">
        <w:rPr>
          <w:bCs/>
          <w:sz w:val="24"/>
          <w:szCs w:val="24"/>
        </w:rPr>
        <w:t>(art. 72 ust. 3 Konwencji).</w:t>
      </w:r>
    </w:p>
    <w:p w:rsidR="00591EC1" w:rsidRPr="00A42E41" w:rsidRDefault="00591EC1" w:rsidP="00E7396B">
      <w:pPr>
        <w:pStyle w:val="Akapitzlist"/>
        <w:spacing w:before="120" w:after="120" w:line="240" w:lineRule="auto"/>
        <w:ind w:left="1080"/>
        <w:contextualSpacing w:val="0"/>
        <w:jc w:val="both"/>
        <w:rPr>
          <w:bCs/>
          <w:sz w:val="24"/>
          <w:szCs w:val="24"/>
        </w:rPr>
      </w:pPr>
    </w:p>
    <w:p w:rsidR="00591EC1" w:rsidRPr="00FE4290" w:rsidRDefault="00591EC1" w:rsidP="00E7396B">
      <w:pPr>
        <w:spacing w:before="120" w:after="120" w:line="240" w:lineRule="auto"/>
        <w:ind w:left="567"/>
        <w:jc w:val="both"/>
        <w:rPr>
          <w:bCs/>
          <w:i/>
          <w:sz w:val="24"/>
          <w:szCs w:val="24"/>
        </w:rPr>
      </w:pPr>
      <w:r w:rsidRPr="00FE4290">
        <w:rPr>
          <w:bCs/>
          <w:i/>
          <w:sz w:val="24"/>
          <w:szCs w:val="24"/>
        </w:rPr>
        <w:t xml:space="preserve">Forum non </w:t>
      </w:r>
      <w:proofErr w:type="spellStart"/>
      <w:r w:rsidRPr="00FE4290">
        <w:rPr>
          <w:bCs/>
          <w:i/>
          <w:sz w:val="24"/>
          <w:szCs w:val="24"/>
        </w:rPr>
        <w:t>conveniens</w:t>
      </w:r>
      <w:proofErr w:type="spellEnd"/>
    </w:p>
    <w:p w:rsidR="00591EC1" w:rsidRPr="00A42E41" w:rsidRDefault="00591EC1" w:rsidP="00E7396B">
      <w:pPr>
        <w:pStyle w:val="Akapitzlist"/>
        <w:numPr>
          <w:ilvl w:val="0"/>
          <w:numId w:val="19"/>
        </w:numPr>
        <w:spacing w:before="120" w:after="120" w:line="240" w:lineRule="auto"/>
        <w:ind w:left="567"/>
        <w:contextualSpacing w:val="0"/>
        <w:jc w:val="both"/>
        <w:rPr>
          <w:bCs/>
          <w:sz w:val="24"/>
          <w:szCs w:val="24"/>
        </w:rPr>
      </w:pPr>
      <w:r w:rsidRPr="00A42E41">
        <w:rPr>
          <w:bCs/>
          <w:sz w:val="24"/>
          <w:szCs w:val="24"/>
        </w:rPr>
        <w:t xml:space="preserve">Drugie zdanie </w:t>
      </w:r>
      <w:r w:rsidRPr="00F42F06">
        <w:rPr>
          <w:bCs/>
          <w:sz w:val="24"/>
          <w:szCs w:val="24"/>
          <w:u w:val="single"/>
        </w:rPr>
        <w:t>paragrafu 34 Rekomendacji</w:t>
      </w:r>
      <w:r w:rsidRPr="00A42E41">
        <w:rPr>
          <w:bCs/>
          <w:sz w:val="24"/>
          <w:szCs w:val="24"/>
        </w:rPr>
        <w:t xml:space="preserve"> sugeruje</w:t>
      </w:r>
      <w:r>
        <w:rPr>
          <w:bCs/>
          <w:sz w:val="24"/>
          <w:szCs w:val="24"/>
        </w:rPr>
        <w:t>, a</w:t>
      </w:r>
      <w:r w:rsidRPr="00A42E41">
        <w:rPr>
          <w:bCs/>
          <w:sz w:val="24"/>
          <w:szCs w:val="24"/>
        </w:rPr>
        <w:t xml:space="preserve">by państwa członkowskie nie stosowały doktryny </w:t>
      </w:r>
      <w:r w:rsidRPr="00CC426D">
        <w:rPr>
          <w:bCs/>
          <w:i/>
          <w:sz w:val="24"/>
          <w:szCs w:val="24"/>
        </w:rPr>
        <w:t xml:space="preserve">forum non </w:t>
      </w:r>
      <w:proofErr w:type="spellStart"/>
      <w:r w:rsidRPr="00CC426D">
        <w:rPr>
          <w:bCs/>
          <w:i/>
          <w:sz w:val="24"/>
          <w:szCs w:val="24"/>
        </w:rPr>
        <w:t>conveniens</w:t>
      </w:r>
      <w:proofErr w:type="spellEnd"/>
      <w:r w:rsidRPr="00A42E41">
        <w:rPr>
          <w:bCs/>
          <w:sz w:val="24"/>
          <w:szCs w:val="24"/>
        </w:rPr>
        <w:t xml:space="preserve"> w sprawach roszczeń cywilnych dotyczących </w:t>
      </w:r>
      <w:r w:rsidRPr="00A42E41">
        <w:rPr>
          <w:bCs/>
          <w:sz w:val="24"/>
          <w:szCs w:val="24"/>
        </w:rPr>
        <w:lastRenderedPageBreak/>
        <w:t xml:space="preserve">naruszeń praw człowieka przeciwko przedsiębiorstwom, które mają siedzibę w obrębie ich jurysdykcji. Doktryna </w:t>
      </w:r>
      <w:r w:rsidRPr="00CC426D">
        <w:rPr>
          <w:bCs/>
          <w:i/>
          <w:sz w:val="24"/>
          <w:szCs w:val="24"/>
        </w:rPr>
        <w:t xml:space="preserve">forum non </w:t>
      </w:r>
      <w:proofErr w:type="spellStart"/>
      <w:r w:rsidRPr="00CC426D">
        <w:rPr>
          <w:bCs/>
          <w:i/>
          <w:sz w:val="24"/>
          <w:szCs w:val="24"/>
        </w:rPr>
        <w:t>conveniens</w:t>
      </w:r>
      <w:proofErr w:type="spellEnd"/>
      <w:r w:rsidRPr="00A42E41">
        <w:rPr>
          <w:bCs/>
          <w:sz w:val="24"/>
          <w:szCs w:val="24"/>
        </w:rPr>
        <w:t xml:space="preserve"> pozwala sądom odmówić </w:t>
      </w:r>
      <w:r>
        <w:rPr>
          <w:bCs/>
          <w:sz w:val="24"/>
          <w:szCs w:val="24"/>
        </w:rPr>
        <w:t>uznania</w:t>
      </w:r>
      <w:r w:rsidRPr="00CC426D">
        <w:rPr>
          <w:bCs/>
          <w:sz w:val="24"/>
          <w:szCs w:val="24"/>
        </w:rPr>
        <w:t xml:space="preserve"> właściwości</w:t>
      </w:r>
      <w:r w:rsidRPr="00A42E41">
        <w:rPr>
          <w:bCs/>
          <w:sz w:val="24"/>
          <w:szCs w:val="24"/>
        </w:rPr>
        <w:t xml:space="preserve">, pomimo spełnienia wszystkich niezbędnych wymagań, w sprawach, w których istnieje bardziej odpowiedni sąd do rozpatrzenia danej sprawy, nawet jeżeli znajduje się on w innej jurysdykcji. </w:t>
      </w:r>
      <w:r w:rsidRPr="00CC426D">
        <w:rPr>
          <w:bCs/>
          <w:sz w:val="24"/>
          <w:szCs w:val="24"/>
          <w:u w:val="single"/>
        </w:rPr>
        <w:t>Paragraf 34 Rekomendacji</w:t>
      </w:r>
      <w:r w:rsidRPr="00A42E41">
        <w:rPr>
          <w:bCs/>
          <w:sz w:val="24"/>
          <w:szCs w:val="24"/>
        </w:rPr>
        <w:t xml:space="preserve"> jest spójny z wyrokiem</w:t>
      </w:r>
      <w:r w:rsidRPr="00A42E41">
        <w:rPr>
          <w:sz w:val="24"/>
          <w:szCs w:val="24"/>
        </w:rPr>
        <w:t xml:space="preserve"> </w:t>
      </w:r>
      <w:r w:rsidRPr="00A42E41">
        <w:rPr>
          <w:bCs/>
          <w:sz w:val="24"/>
          <w:szCs w:val="24"/>
        </w:rPr>
        <w:t xml:space="preserve">Trybunału Sprawiedliwości Unii Europejskiej z 2005 r. w sprawie </w:t>
      </w:r>
      <w:proofErr w:type="spellStart"/>
      <w:r w:rsidRPr="00A42E41">
        <w:rPr>
          <w:bCs/>
          <w:i/>
          <w:sz w:val="24"/>
          <w:szCs w:val="24"/>
        </w:rPr>
        <w:t>Owusu</w:t>
      </w:r>
      <w:proofErr w:type="spellEnd"/>
      <w:r w:rsidRPr="00A42E41">
        <w:rPr>
          <w:bCs/>
          <w:i/>
          <w:sz w:val="24"/>
          <w:szCs w:val="24"/>
        </w:rPr>
        <w:t xml:space="preserve"> p. N.B. Jackson, </w:t>
      </w:r>
      <w:r w:rsidRPr="00A42E41">
        <w:rPr>
          <w:bCs/>
          <w:sz w:val="24"/>
          <w:szCs w:val="24"/>
        </w:rPr>
        <w:t xml:space="preserve">w którym Trybunał stwierdził, że </w:t>
      </w:r>
      <w:r>
        <w:rPr>
          <w:bCs/>
          <w:sz w:val="24"/>
          <w:szCs w:val="24"/>
        </w:rPr>
        <w:t>s</w:t>
      </w:r>
      <w:r w:rsidRPr="00A42E41">
        <w:rPr>
          <w:bCs/>
          <w:sz w:val="24"/>
          <w:szCs w:val="24"/>
        </w:rPr>
        <w:t xml:space="preserve">ystem </w:t>
      </w:r>
      <w:r>
        <w:rPr>
          <w:bCs/>
          <w:sz w:val="24"/>
          <w:szCs w:val="24"/>
        </w:rPr>
        <w:t>b</w:t>
      </w:r>
      <w:r w:rsidRPr="00A42E41">
        <w:rPr>
          <w:bCs/>
          <w:sz w:val="24"/>
          <w:szCs w:val="24"/>
        </w:rPr>
        <w:t xml:space="preserve">rukselski uniemożliwia sądowi krajowemu państwa członkowskiego Unii Europejskiej wyłączenie swojej jurysdykcji poprzez zastosowaniu doktryny </w:t>
      </w:r>
      <w:r w:rsidRPr="00CC426D">
        <w:rPr>
          <w:bCs/>
          <w:i/>
          <w:sz w:val="24"/>
          <w:szCs w:val="24"/>
        </w:rPr>
        <w:t xml:space="preserve">forum non </w:t>
      </w:r>
      <w:proofErr w:type="spellStart"/>
      <w:r w:rsidRPr="00CC426D">
        <w:rPr>
          <w:bCs/>
          <w:i/>
          <w:sz w:val="24"/>
          <w:szCs w:val="24"/>
        </w:rPr>
        <w:t>conveniens</w:t>
      </w:r>
      <w:proofErr w:type="spellEnd"/>
      <w:r w:rsidRPr="00A42E41">
        <w:rPr>
          <w:bCs/>
          <w:sz w:val="24"/>
          <w:szCs w:val="24"/>
        </w:rPr>
        <w:t>.</w:t>
      </w:r>
      <w:r w:rsidRPr="00A42E41">
        <w:rPr>
          <w:rStyle w:val="Odwoanieprzypisukocowego"/>
          <w:bCs/>
          <w:sz w:val="24"/>
          <w:szCs w:val="24"/>
        </w:rPr>
        <w:endnoteReference w:id="21"/>
      </w:r>
      <w:r w:rsidRPr="00A42E41">
        <w:rPr>
          <w:bCs/>
          <w:sz w:val="24"/>
          <w:szCs w:val="24"/>
        </w:rPr>
        <w:t xml:space="preserve"> </w:t>
      </w:r>
    </w:p>
    <w:p w:rsidR="00591EC1" w:rsidRPr="00A42E41" w:rsidRDefault="00591EC1" w:rsidP="00E7396B">
      <w:pPr>
        <w:pStyle w:val="Akapitzlist"/>
        <w:spacing w:before="120" w:after="120" w:line="240" w:lineRule="auto"/>
        <w:ind w:left="1080"/>
        <w:contextualSpacing w:val="0"/>
        <w:jc w:val="both"/>
        <w:rPr>
          <w:bCs/>
          <w:sz w:val="24"/>
          <w:szCs w:val="24"/>
        </w:rPr>
      </w:pPr>
    </w:p>
    <w:p w:rsidR="00591EC1" w:rsidRPr="00FE4290" w:rsidRDefault="00591EC1" w:rsidP="00E7396B">
      <w:pPr>
        <w:spacing w:before="120" w:after="120" w:line="240" w:lineRule="auto"/>
        <w:ind w:left="567"/>
        <w:jc w:val="both"/>
        <w:rPr>
          <w:bCs/>
          <w:i/>
          <w:sz w:val="24"/>
          <w:szCs w:val="24"/>
        </w:rPr>
      </w:pPr>
      <w:r w:rsidRPr="00FE4290">
        <w:rPr>
          <w:bCs/>
          <w:i/>
          <w:sz w:val="24"/>
          <w:szCs w:val="24"/>
        </w:rPr>
        <w:t>Przedsiębiorstwa i ich filie</w:t>
      </w:r>
    </w:p>
    <w:p w:rsidR="00591EC1" w:rsidRPr="00A42E41" w:rsidRDefault="00591EC1" w:rsidP="00E7396B">
      <w:pPr>
        <w:pStyle w:val="Akapitzlist"/>
        <w:numPr>
          <w:ilvl w:val="0"/>
          <w:numId w:val="19"/>
        </w:numPr>
        <w:spacing w:before="120" w:after="120" w:line="240" w:lineRule="auto"/>
        <w:ind w:left="567"/>
        <w:contextualSpacing w:val="0"/>
        <w:jc w:val="both"/>
        <w:rPr>
          <w:bCs/>
          <w:sz w:val="24"/>
          <w:szCs w:val="24"/>
        </w:rPr>
      </w:pPr>
      <w:r w:rsidRPr="00A42E41">
        <w:rPr>
          <w:bCs/>
          <w:sz w:val="24"/>
          <w:szCs w:val="24"/>
        </w:rPr>
        <w:t xml:space="preserve">Zasada osobowości prawnej oraz doktryna ograniczonej odpowiedzialności, która powstała w prawie handlowym, aby zachęcić do inwestycji bez obaw przed odpowiedzialnością, a tym samym zwiększyć wzrost gospodarczy, w konsekwencji spowodowała, że osobowość prawna jednego przedsiębiorstwa </w:t>
      </w:r>
      <w:r>
        <w:rPr>
          <w:bCs/>
          <w:sz w:val="24"/>
          <w:szCs w:val="24"/>
        </w:rPr>
        <w:t xml:space="preserve">może </w:t>
      </w:r>
      <w:r w:rsidRPr="00A42E41">
        <w:rPr>
          <w:bCs/>
          <w:sz w:val="24"/>
          <w:szCs w:val="24"/>
        </w:rPr>
        <w:t>różni</w:t>
      </w:r>
      <w:r>
        <w:rPr>
          <w:bCs/>
          <w:sz w:val="24"/>
          <w:szCs w:val="24"/>
        </w:rPr>
        <w:t>ć</w:t>
      </w:r>
      <w:r w:rsidRPr="00A42E41">
        <w:rPr>
          <w:bCs/>
          <w:sz w:val="24"/>
          <w:szCs w:val="24"/>
        </w:rPr>
        <w:t xml:space="preserve"> się od osobowości prawnej drugiego.</w:t>
      </w:r>
      <w:r w:rsidRPr="00A42E41">
        <w:rPr>
          <w:rStyle w:val="Odwoanieprzypisukocowego"/>
          <w:bCs/>
          <w:sz w:val="24"/>
          <w:szCs w:val="24"/>
        </w:rPr>
        <w:endnoteReference w:id="22"/>
      </w:r>
      <w:r>
        <w:rPr>
          <w:bCs/>
          <w:sz w:val="24"/>
          <w:szCs w:val="24"/>
        </w:rPr>
        <w:t xml:space="preserve"> </w:t>
      </w:r>
      <w:r w:rsidRPr="00A42E41">
        <w:rPr>
          <w:bCs/>
          <w:sz w:val="24"/>
          <w:szCs w:val="24"/>
        </w:rPr>
        <w:t>Doktryny te rozciągaj</w:t>
      </w:r>
      <w:r>
        <w:rPr>
          <w:bCs/>
          <w:sz w:val="24"/>
          <w:szCs w:val="24"/>
        </w:rPr>
        <w:t>ą</w:t>
      </w:r>
      <w:r w:rsidRPr="00A42E41">
        <w:rPr>
          <w:bCs/>
          <w:sz w:val="24"/>
          <w:szCs w:val="24"/>
        </w:rPr>
        <w:t xml:space="preserve"> się </w:t>
      </w:r>
      <w:r>
        <w:rPr>
          <w:bCs/>
          <w:sz w:val="24"/>
          <w:szCs w:val="24"/>
        </w:rPr>
        <w:t xml:space="preserve">na </w:t>
      </w:r>
      <w:r w:rsidRPr="00A42E41">
        <w:rPr>
          <w:bCs/>
          <w:sz w:val="24"/>
          <w:szCs w:val="24"/>
        </w:rPr>
        <w:t>spółki dominujące i ich spółki zależne, tym samym utrudniając domniemanym ofiarom naruszeń praw człowieka z udziałem przedsiębiorstw ustalenie odpowiedzialności cywilnej spółki dominujące</w:t>
      </w:r>
      <w:r>
        <w:rPr>
          <w:bCs/>
          <w:sz w:val="24"/>
          <w:szCs w:val="24"/>
        </w:rPr>
        <w:t>j</w:t>
      </w:r>
      <w:r w:rsidRPr="00A42E41">
        <w:rPr>
          <w:bCs/>
          <w:sz w:val="24"/>
          <w:szCs w:val="24"/>
        </w:rPr>
        <w:t xml:space="preserve"> (chyba że s</w:t>
      </w:r>
      <w:r>
        <w:rPr>
          <w:bCs/>
          <w:sz w:val="24"/>
          <w:szCs w:val="24"/>
        </w:rPr>
        <w:t>ądy krajowe zastosują wyjątek „o</w:t>
      </w:r>
      <w:r w:rsidRPr="00A42E41">
        <w:rPr>
          <w:bCs/>
          <w:sz w:val="24"/>
          <w:szCs w:val="24"/>
        </w:rPr>
        <w:t>dpowiedzialności przebijającej</w:t>
      </w:r>
      <w:r>
        <w:rPr>
          <w:bCs/>
          <w:sz w:val="24"/>
          <w:szCs w:val="24"/>
        </w:rPr>
        <w:t xml:space="preserve">”, oryg. </w:t>
      </w:r>
      <w:proofErr w:type="spellStart"/>
      <w:r w:rsidRPr="00CC426D">
        <w:rPr>
          <w:bCs/>
          <w:i/>
          <w:sz w:val="24"/>
          <w:szCs w:val="24"/>
        </w:rPr>
        <w:t>piercing</w:t>
      </w:r>
      <w:proofErr w:type="spellEnd"/>
      <w:r w:rsidRPr="00CC426D">
        <w:rPr>
          <w:bCs/>
          <w:i/>
          <w:sz w:val="24"/>
          <w:szCs w:val="24"/>
        </w:rPr>
        <w:t xml:space="preserve"> the </w:t>
      </w:r>
      <w:proofErr w:type="spellStart"/>
      <w:r w:rsidRPr="00CC426D">
        <w:rPr>
          <w:bCs/>
          <w:i/>
          <w:sz w:val="24"/>
          <w:szCs w:val="24"/>
        </w:rPr>
        <w:t>corporate</w:t>
      </w:r>
      <w:proofErr w:type="spellEnd"/>
      <w:r w:rsidRPr="00CC426D">
        <w:rPr>
          <w:bCs/>
          <w:i/>
          <w:sz w:val="24"/>
          <w:szCs w:val="24"/>
        </w:rPr>
        <w:t xml:space="preserve"> </w:t>
      </w:r>
      <w:proofErr w:type="spellStart"/>
      <w:r w:rsidRPr="00CC426D">
        <w:rPr>
          <w:bCs/>
          <w:i/>
          <w:sz w:val="24"/>
          <w:szCs w:val="24"/>
        </w:rPr>
        <w:t>veil</w:t>
      </w:r>
      <w:proofErr w:type="spellEnd"/>
      <w:r w:rsidRPr="00A42E41">
        <w:rPr>
          <w:bCs/>
          <w:sz w:val="24"/>
          <w:szCs w:val="24"/>
        </w:rPr>
        <w:t xml:space="preserve">). Z proceduralnego punktu widzenia </w:t>
      </w:r>
      <w:r w:rsidRPr="00CC426D">
        <w:rPr>
          <w:bCs/>
          <w:sz w:val="24"/>
          <w:szCs w:val="24"/>
        </w:rPr>
        <w:t>przeszkoda w dostępie do wymiaru sprawiedliwości</w:t>
      </w:r>
      <w:r w:rsidRPr="00A42E41">
        <w:rPr>
          <w:bCs/>
          <w:sz w:val="24"/>
          <w:szCs w:val="24"/>
        </w:rPr>
        <w:t xml:space="preserve"> może powstać wówczas, gdy spółka zależna prowadzi działalność w państwie trzecim, a zatem w innej jurysdykcji. Dlatego </w:t>
      </w:r>
      <w:r w:rsidRPr="00CC426D">
        <w:rPr>
          <w:bCs/>
          <w:sz w:val="24"/>
          <w:szCs w:val="24"/>
          <w:u w:val="single"/>
        </w:rPr>
        <w:t>paragraf 35 Rekomendacji</w:t>
      </w:r>
      <w:r w:rsidRPr="00A42E41">
        <w:rPr>
          <w:bCs/>
          <w:sz w:val="24"/>
          <w:szCs w:val="24"/>
        </w:rPr>
        <w:t xml:space="preserve"> sugeruje, </w:t>
      </w:r>
      <w:r>
        <w:rPr>
          <w:bCs/>
          <w:sz w:val="24"/>
          <w:szCs w:val="24"/>
        </w:rPr>
        <w:t>aby</w:t>
      </w:r>
      <w:r w:rsidRPr="00A42E41">
        <w:rPr>
          <w:bCs/>
          <w:sz w:val="24"/>
          <w:szCs w:val="24"/>
        </w:rPr>
        <w:t xml:space="preserve"> państwa członkowskie rozważy</w:t>
      </w:r>
      <w:r>
        <w:rPr>
          <w:bCs/>
          <w:sz w:val="24"/>
          <w:szCs w:val="24"/>
        </w:rPr>
        <w:t>ły</w:t>
      </w:r>
      <w:r w:rsidRPr="00A42E41">
        <w:rPr>
          <w:bCs/>
          <w:sz w:val="24"/>
          <w:szCs w:val="24"/>
        </w:rPr>
        <w:t xml:space="preserve"> stworzenie ich sądom krajowym możliwości sprawowania </w:t>
      </w:r>
      <w:r>
        <w:rPr>
          <w:bCs/>
          <w:sz w:val="24"/>
          <w:szCs w:val="24"/>
        </w:rPr>
        <w:t>jurysdykcji</w:t>
      </w:r>
      <w:r w:rsidRPr="00A42E41">
        <w:rPr>
          <w:bCs/>
          <w:sz w:val="24"/>
          <w:szCs w:val="24"/>
        </w:rPr>
        <w:t xml:space="preserve"> </w:t>
      </w:r>
      <w:r>
        <w:rPr>
          <w:bCs/>
          <w:sz w:val="24"/>
          <w:szCs w:val="24"/>
        </w:rPr>
        <w:t>wobec spółki dominującej</w:t>
      </w:r>
      <w:r w:rsidRPr="00CC426D">
        <w:rPr>
          <w:bCs/>
          <w:sz w:val="24"/>
          <w:szCs w:val="24"/>
        </w:rPr>
        <w:t xml:space="preserve"> </w:t>
      </w:r>
      <w:r w:rsidRPr="00A42E41">
        <w:rPr>
          <w:bCs/>
          <w:sz w:val="24"/>
          <w:szCs w:val="24"/>
        </w:rPr>
        <w:t>w</w:t>
      </w:r>
      <w:r>
        <w:rPr>
          <w:bCs/>
          <w:sz w:val="24"/>
          <w:szCs w:val="24"/>
        </w:rPr>
        <w:t xml:space="preserve"> przypadku, gdy </w:t>
      </w:r>
      <w:r w:rsidRPr="00A42E41">
        <w:rPr>
          <w:bCs/>
          <w:sz w:val="24"/>
          <w:szCs w:val="24"/>
        </w:rPr>
        <w:t xml:space="preserve">ma siedzibę w obrębie </w:t>
      </w:r>
      <w:r>
        <w:rPr>
          <w:bCs/>
          <w:sz w:val="24"/>
          <w:szCs w:val="24"/>
        </w:rPr>
        <w:t xml:space="preserve">ich </w:t>
      </w:r>
      <w:r w:rsidRPr="00A42E41">
        <w:rPr>
          <w:bCs/>
          <w:sz w:val="24"/>
          <w:szCs w:val="24"/>
        </w:rPr>
        <w:t>jurysdykcji, jak również wobec spółki zależnej, nawet jeśli ma siedzibę w obrębie innej jurysdykcji.</w:t>
      </w:r>
      <w:r w:rsidRPr="00A42E41">
        <w:rPr>
          <w:sz w:val="24"/>
          <w:szCs w:val="24"/>
        </w:rPr>
        <w:t xml:space="preserve"> Jednak </w:t>
      </w:r>
      <w:r w:rsidRPr="00CC426D">
        <w:rPr>
          <w:sz w:val="24"/>
          <w:szCs w:val="24"/>
        </w:rPr>
        <w:t xml:space="preserve">w takich przypadkach </w:t>
      </w:r>
      <w:r w:rsidRPr="00A42E41">
        <w:rPr>
          <w:bCs/>
          <w:sz w:val="24"/>
          <w:szCs w:val="24"/>
        </w:rPr>
        <w:t>roszczenia przeciwko spółce dominującej i zależnej powinny być ściśle ze sobą związane. Na przykład holenderski sąd</w:t>
      </w:r>
      <w:r w:rsidRPr="00A42E41">
        <w:rPr>
          <w:sz w:val="24"/>
          <w:szCs w:val="24"/>
        </w:rPr>
        <w:t xml:space="preserve"> </w:t>
      </w:r>
      <w:r w:rsidRPr="00A42E41">
        <w:rPr>
          <w:bCs/>
          <w:sz w:val="24"/>
          <w:szCs w:val="24"/>
        </w:rPr>
        <w:t xml:space="preserve">rejonowy stwierdził swoją jurysdykcję </w:t>
      </w:r>
      <w:r>
        <w:rPr>
          <w:bCs/>
          <w:sz w:val="24"/>
          <w:szCs w:val="24"/>
        </w:rPr>
        <w:t>zarówno</w:t>
      </w:r>
      <w:r w:rsidRPr="00A42E41">
        <w:rPr>
          <w:bCs/>
          <w:sz w:val="24"/>
          <w:szCs w:val="24"/>
        </w:rPr>
        <w:t xml:space="preserve"> przeciwko </w:t>
      </w:r>
      <w:proofErr w:type="spellStart"/>
      <w:r w:rsidRPr="00A42E41">
        <w:rPr>
          <w:bCs/>
          <w:sz w:val="24"/>
          <w:szCs w:val="24"/>
        </w:rPr>
        <w:t>Royal</w:t>
      </w:r>
      <w:proofErr w:type="spellEnd"/>
      <w:r w:rsidRPr="00A42E41">
        <w:rPr>
          <w:bCs/>
          <w:sz w:val="24"/>
          <w:szCs w:val="24"/>
        </w:rPr>
        <w:t xml:space="preserve"> Dutch Shell </w:t>
      </w:r>
      <w:proofErr w:type="spellStart"/>
      <w:r w:rsidRPr="00A42E41">
        <w:rPr>
          <w:bCs/>
          <w:sz w:val="24"/>
          <w:szCs w:val="24"/>
        </w:rPr>
        <w:t>Plc</w:t>
      </w:r>
      <w:proofErr w:type="spellEnd"/>
      <w:r w:rsidRPr="00A42E41">
        <w:rPr>
          <w:bCs/>
          <w:sz w:val="24"/>
          <w:szCs w:val="24"/>
        </w:rPr>
        <w:t>, zarejestrowanej w Wielkiej Brytanii z siedzibą w Holandii,</w:t>
      </w:r>
      <w:r>
        <w:rPr>
          <w:bCs/>
          <w:sz w:val="24"/>
          <w:szCs w:val="24"/>
        </w:rPr>
        <w:t xml:space="preserve"> jak</w:t>
      </w:r>
      <w:r w:rsidRPr="00A42E41">
        <w:rPr>
          <w:bCs/>
          <w:sz w:val="24"/>
          <w:szCs w:val="24"/>
        </w:rPr>
        <w:t xml:space="preserve"> i Shell Petroleum Development Company of Nigeria Ltd. z siedzibą w Nigerii, w sprawie wniesionej przez obywateli Nigerii w związku ze szkodą spowodowaną zanieczyszczeniem </w:t>
      </w:r>
      <w:r>
        <w:rPr>
          <w:bCs/>
          <w:sz w:val="24"/>
          <w:szCs w:val="24"/>
        </w:rPr>
        <w:t>ropą</w:t>
      </w:r>
      <w:r w:rsidRPr="00A42E41">
        <w:rPr>
          <w:bCs/>
          <w:sz w:val="24"/>
          <w:szCs w:val="24"/>
        </w:rPr>
        <w:t xml:space="preserve"> w wyniku przeciekającego rurociągu w Nigerii (decyzja z dnia 30 grudn</w:t>
      </w:r>
      <w:r>
        <w:rPr>
          <w:bCs/>
          <w:sz w:val="24"/>
          <w:szCs w:val="24"/>
        </w:rPr>
        <w:t>ia 2009 r. w sprawie nr 30891/</w:t>
      </w:r>
      <w:r w:rsidRPr="00A42E41">
        <w:rPr>
          <w:bCs/>
          <w:sz w:val="24"/>
          <w:szCs w:val="24"/>
        </w:rPr>
        <w:t xml:space="preserve">HA ZA 09-579). Sąd </w:t>
      </w:r>
      <w:r>
        <w:rPr>
          <w:bCs/>
          <w:sz w:val="24"/>
          <w:szCs w:val="24"/>
        </w:rPr>
        <w:t>rejonowy</w:t>
      </w:r>
      <w:r w:rsidRPr="00A42E41">
        <w:rPr>
          <w:bCs/>
          <w:sz w:val="24"/>
          <w:szCs w:val="24"/>
        </w:rPr>
        <w:t xml:space="preserve"> uznał, że</w:t>
      </w:r>
      <w:r>
        <w:rPr>
          <w:bCs/>
          <w:sz w:val="24"/>
          <w:szCs w:val="24"/>
        </w:rPr>
        <w:t xml:space="preserve"> pomiędzy</w:t>
      </w:r>
      <w:r w:rsidRPr="00A42E41">
        <w:rPr>
          <w:bCs/>
          <w:sz w:val="24"/>
          <w:szCs w:val="24"/>
        </w:rPr>
        <w:t xml:space="preserve"> roszczenia</w:t>
      </w:r>
      <w:r>
        <w:rPr>
          <w:bCs/>
          <w:sz w:val="24"/>
          <w:szCs w:val="24"/>
        </w:rPr>
        <w:t>mi</w:t>
      </w:r>
      <w:r w:rsidRPr="00A42E41">
        <w:rPr>
          <w:bCs/>
          <w:sz w:val="24"/>
          <w:szCs w:val="24"/>
        </w:rPr>
        <w:t xml:space="preserve"> wobec dwóch przedsiębiorstw </w:t>
      </w:r>
      <w:r>
        <w:rPr>
          <w:bCs/>
          <w:sz w:val="24"/>
          <w:szCs w:val="24"/>
        </w:rPr>
        <w:t>istniał związek</w:t>
      </w:r>
      <w:r w:rsidRPr="00A42E41">
        <w:rPr>
          <w:bCs/>
          <w:sz w:val="24"/>
          <w:szCs w:val="24"/>
        </w:rPr>
        <w:t>, ponieważ dotycz</w:t>
      </w:r>
      <w:r>
        <w:rPr>
          <w:bCs/>
          <w:sz w:val="24"/>
          <w:szCs w:val="24"/>
        </w:rPr>
        <w:t>yły</w:t>
      </w:r>
      <w:r w:rsidRPr="00A42E41">
        <w:rPr>
          <w:bCs/>
          <w:sz w:val="24"/>
          <w:szCs w:val="24"/>
        </w:rPr>
        <w:t xml:space="preserve"> tych samych faktów</w:t>
      </w:r>
      <w:r>
        <w:rPr>
          <w:bCs/>
          <w:sz w:val="24"/>
          <w:szCs w:val="24"/>
        </w:rPr>
        <w:t>, zaś</w:t>
      </w:r>
      <w:r w:rsidRPr="00A42E41">
        <w:rPr>
          <w:bCs/>
          <w:sz w:val="24"/>
          <w:szCs w:val="24"/>
        </w:rPr>
        <w:t xml:space="preserve"> pozwani zostali pociągnięci do odpowiedzialności za tę samą szkodę.</w:t>
      </w:r>
    </w:p>
    <w:p w:rsidR="00591EC1" w:rsidRPr="00A42E41" w:rsidRDefault="00591EC1" w:rsidP="00E7396B">
      <w:pPr>
        <w:pStyle w:val="Akapitzlist"/>
        <w:spacing w:before="120" w:after="120" w:line="240" w:lineRule="auto"/>
        <w:ind w:left="1080"/>
        <w:contextualSpacing w:val="0"/>
        <w:jc w:val="both"/>
        <w:rPr>
          <w:b/>
          <w:bCs/>
          <w:sz w:val="24"/>
          <w:szCs w:val="24"/>
        </w:rPr>
      </w:pPr>
    </w:p>
    <w:p w:rsidR="00591EC1" w:rsidRPr="00FE4290" w:rsidRDefault="00591EC1" w:rsidP="00E7396B">
      <w:pPr>
        <w:spacing w:before="120" w:after="120" w:line="240" w:lineRule="auto"/>
        <w:ind w:left="567"/>
        <w:jc w:val="both"/>
        <w:rPr>
          <w:bCs/>
          <w:i/>
          <w:sz w:val="24"/>
          <w:szCs w:val="24"/>
        </w:rPr>
      </w:pPr>
      <w:r w:rsidRPr="00FE4290">
        <w:rPr>
          <w:bCs/>
          <w:i/>
          <w:sz w:val="24"/>
          <w:szCs w:val="24"/>
        </w:rPr>
        <w:t xml:space="preserve">Forum </w:t>
      </w:r>
      <w:proofErr w:type="spellStart"/>
      <w:r w:rsidRPr="00FE4290">
        <w:rPr>
          <w:bCs/>
          <w:i/>
          <w:sz w:val="24"/>
          <w:szCs w:val="24"/>
        </w:rPr>
        <w:t>necessitatis</w:t>
      </w:r>
      <w:proofErr w:type="spellEnd"/>
    </w:p>
    <w:p w:rsidR="00591EC1" w:rsidRPr="00A42E41" w:rsidRDefault="00591EC1" w:rsidP="00E7396B">
      <w:pPr>
        <w:pStyle w:val="Akapitzlist"/>
        <w:numPr>
          <w:ilvl w:val="0"/>
          <w:numId w:val="19"/>
        </w:numPr>
        <w:spacing w:before="120" w:after="120" w:line="240" w:lineRule="auto"/>
        <w:ind w:left="567"/>
        <w:contextualSpacing w:val="0"/>
        <w:jc w:val="both"/>
        <w:rPr>
          <w:bCs/>
          <w:sz w:val="24"/>
          <w:szCs w:val="24"/>
        </w:rPr>
      </w:pPr>
      <w:r w:rsidRPr="00A42E41">
        <w:rPr>
          <w:bCs/>
          <w:sz w:val="24"/>
          <w:szCs w:val="24"/>
        </w:rPr>
        <w:t>Doktryna</w:t>
      </w:r>
      <w:r w:rsidRPr="00A42E41">
        <w:rPr>
          <w:sz w:val="24"/>
          <w:szCs w:val="24"/>
        </w:rPr>
        <w:t xml:space="preserve"> </w:t>
      </w:r>
      <w:r w:rsidRPr="00CC426D">
        <w:rPr>
          <w:bCs/>
          <w:i/>
          <w:sz w:val="24"/>
          <w:szCs w:val="24"/>
        </w:rPr>
        <w:t xml:space="preserve">forum </w:t>
      </w:r>
      <w:proofErr w:type="spellStart"/>
      <w:r w:rsidRPr="00CC426D">
        <w:rPr>
          <w:bCs/>
          <w:i/>
          <w:sz w:val="24"/>
          <w:szCs w:val="24"/>
        </w:rPr>
        <w:t>necessitatis</w:t>
      </w:r>
      <w:proofErr w:type="spellEnd"/>
      <w:r>
        <w:rPr>
          <w:bCs/>
          <w:sz w:val="24"/>
          <w:szCs w:val="24"/>
        </w:rPr>
        <w:t>, określana również jako „forum konieczności”</w:t>
      </w:r>
      <w:r w:rsidRPr="00A42E41">
        <w:rPr>
          <w:bCs/>
          <w:sz w:val="24"/>
          <w:szCs w:val="24"/>
        </w:rPr>
        <w:t xml:space="preserve">, umożliwia sądowi uznać swoją jurysdykcję w przypadku, </w:t>
      </w:r>
      <w:r w:rsidRPr="00CC426D">
        <w:rPr>
          <w:bCs/>
          <w:sz w:val="24"/>
          <w:szCs w:val="24"/>
        </w:rPr>
        <w:t>gdy nie istnieje inny właściwy sąd.</w:t>
      </w:r>
      <w:r w:rsidRPr="00A42E41">
        <w:rPr>
          <w:bCs/>
          <w:sz w:val="24"/>
          <w:szCs w:val="24"/>
        </w:rPr>
        <w:t xml:space="preserve"> Taka sytuacja może mieć miejsce, gdy z powodu</w:t>
      </w:r>
      <w:r>
        <w:rPr>
          <w:bCs/>
          <w:sz w:val="24"/>
          <w:szCs w:val="24"/>
        </w:rPr>
        <w:t xml:space="preserve"> </w:t>
      </w:r>
      <w:r w:rsidRPr="00A42E41">
        <w:rPr>
          <w:bCs/>
          <w:sz w:val="24"/>
          <w:szCs w:val="24"/>
        </w:rPr>
        <w:t xml:space="preserve">wojny lub klęski żywiołowej w państwie trzecim </w:t>
      </w:r>
      <w:r>
        <w:rPr>
          <w:bCs/>
          <w:sz w:val="24"/>
          <w:szCs w:val="24"/>
        </w:rPr>
        <w:t>nie ma dostępu do sądu</w:t>
      </w:r>
      <w:r w:rsidRPr="00A42E41">
        <w:rPr>
          <w:bCs/>
          <w:sz w:val="24"/>
          <w:szCs w:val="24"/>
        </w:rPr>
        <w:t xml:space="preserve">. Doktryna może również służyć jako zabezpieczenie przed pozbawieniem dostępu do wymiaru sprawiedliwości, na przykład w przypadkach, gdy nie można racjonalnie oczekiwać, że domniemanym ofiarom naruszeń praw człowieka z udziałem przedsiębiorstw, które miały miejsce poza Europą, zostanie </w:t>
      </w:r>
      <w:r w:rsidRPr="00A42E41">
        <w:rPr>
          <w:bCs/>
          <w:sz w:val="24"/>
          <w:szCs w:val="24"/>
        </w:rPr>
        <w:lastRenderedPageBreak/>
        <w:t xml:space="preserve">zapewnione prawo do rzetelnego procesu w sądach krajowych państwa, w którym doszło do zarzucanych naruszeń. </w:t>
      </w:r>
      <w:r w:rsidRPr="007F57A5">
        <w:rPr>
          <w:bCs/>
          <w:sz w:val="24"/>
          <w:szCs w:val="24"/>
          <w:u w:val="single"/>
        </w:rPr>
        <w:t>Paragraf 36 Rekomendacji</w:t>
      </w:r>
      <w:r w:rsidRPr="00A42E41">
        <w:rPr>
          <w:bCs/>
          <w:sz w:val="24"/>
          <w:szCs w:val="24"/>
        </w:rPr>
        <w:t xml:space="preserve"> zachęca państwa członkowskie do rozważenia </w:t>
      </w:r>
      <w:r>
        <w:rPr>
          <w:bCs/>
          <w:sz w:val="24"/>
          <w:szCs w:val="24"/>
        </w:rPr>
        <w:t>możliwości uznania właściwości ich własnych sądów krajowych</w:t>
      </w:r>
      <w:r w:rsidRPr="00A42E41">
        <w:rPr>
          <w:bCs/>
          <w:sz w:val="24"/>
          <w:szCs w:val="24"/>
        </w:rPr>
        <w:t xml:space="preserve"> przez zastosowanie tej doktryny w sprawach dotyczących domniemanych naruszeń praw człowieka z udziałem przedsiębiorstw, które miały miejsce poza ich jurysdykcją. </w:t>
      </w:r>
      <w:r>
        <w:rPr>
          <w:bCs/>
          <w:sz w:val="24"/>
          <w:szCs w:val="24"/>
        </w:rPr>
        <w:t>Przedmiotowy paragraf dopuszcza taką możliwość p</w:t>
      </w:r>
      <w:r w:rsidRPr="00A42E41">
        <w:rPr>
          <w:bCs/>
          <w:sz w:val="24"/>
          <w:szCs w:val="24"/>
        </w:rPr>
        <w:t>od warunkiem, że postępowanie przed sądem krajowym w państwie trzecim, gdzie doszło do zarzucanego naruszenia, nie gwarantowałoby prawa do rzetelnego proces</w:t>
      </w:r>
      <w:r>
        <w:rPr>
          <w:bCs/>
          <w:sz w:val="24"/>
          <w:szCs w:val="24"/>
        </w:rPr>
        <w:t>u,</w:t>
      </w:r>
      <w:r w:rsidRPr="00A42E41">
        <w:rPr>
          <w:bCs/>
          <w:sz w:val="24"/>
          <w:szCs w:val="24"/>
        </w:rPr>
        <w:t xml:space="preserve"> oraz że istnieje wystarczająco ścisły związek z danym państwe</w:t>
      </w:r>
      <w:r>
        <w:rPr>
          <w:bCs/>
          <w:sz w:val="24"/>
          <w:szCs w:val="24"/>
        </w:rPr>
        <w:t>m</w:t>
      </w:r>
      <w:r w:rsidRPr="00A42E41">
        <w:rPr>
          <w:bCs/>
          <w:sz w:val="24"/>
          <w:szCs w:val="24"/>
        </w:rPr>
        <w:t xml:space="preserve"> członkowskim, które miałoby sprawować taką jurysdykcję. </w:t>
      </w:r>
      <w:r>
        <w:rPr>
          <w:bCs/>
          <w:sz w:val="24"/>
          <w:szCs w:val="24"/>
        </w:rPr>
        <w:t>Kilka</w:t>
      </w:r>
      <w:r w:rsidRPr="00A42E41">
        <w:rPr>
          <w:bCs/>
          <w:sz w:val="24"/>
          <w:szCs w:val="24"/>
        </w:rPr>
        <w:t xml:space="preserve"> państw członkowski</w:t>
      </w:r>
      <w:r>
        <w:rPr>
          <w:bCs/>
          <w:sz w:val="24"/>
          <w:szCs w:val="24"/>
        </w:rPr>
        <w:t>ch</w:t>
      </w:r>
      <w:r w:rsidRPr="00A42E41">
        <w:rPr>
          <w:bCs/>
          <w:sz w:val="24"/>
          <w:szCs w:val="24"/>
        </w:rPr>
        <w:t xml:space="preserve"> przyjęł</w:t>
      </w:r>
      <w:r>
        <w:rPr>
          <w:bCs/>
          <w:sz w:val="24"/>
          <w:szCs w:val="24"/>
        </w:rPr>
        <w:t>o</w:t>
      </w:r>
      <w:r w:rsidRPr="00A42E41">
        <w:rPr>
          <w:bCs/>
          <w:sz w:val="24"/>
          <w:szCs w:val="24"/>
        </w:rPr>
        <w:t xml:space="preserve"> </w:t>
      </w:r>
      <w:r>
        <w:rPr>
          <w:bCs/>
          <w:sz w:val="24"/>
          <w:szCs w:val="24"/>
        </w:rPr>
        <w:t xml:space="preserve">nowe </w:t>
      </w:r>
      <w:r w:rsidRPr="00A42E41">
        <w:rPr>
          <w:bCs/>
          <w:sz w:val="24"/>
          <w:szCs w:val="24"/>
        </w:rPr>
        <w:t>lub dostosował</w:t>
      </w:r>
      <w:r>
        <w:rPr>
          <w:bCs/>
          <w:sz w:val="24"/>
          <w:szCs w:val="24"/>
        </w:rPr>
        <w:t>o istniejące przepisy w tym zakresie</w:t>
      </w:r>
      <w:r w:rsidRPr="00A42E41">
        <w:rPr>
          <w:bCs/>
          <w:sz w:val="24"/>
          <w:szCs w:val="24"/>
        </w:rPr>
        <w:t>.</w:t>
      </w:r>
      <w:r w:rsidRPr="00A42E41">
        <w:rPr>
          <w:rStyle w:val="Odwoanieprzypisukocowego"/>
          <w:bCs/>
          <w:sz w:val="24"/>
          <w:szCs w:val="24"/>
        </w:rPr>
        <w:endnoteReference w:id="23"/>
      </w:r>
    </w:p>
    <w:p w:rsidR="00591EC1" w:rsidRPr="00A42E41" w:rsidRDefault="00591EC1" w:rsidP="00E7396B">
      <w:pPr>
        <w:pStyle w:val="Akapitzlist"/>
        <w:numPr>
          <w:ilvl w:val="0"/>
          <w:numId w:val="19"/>
        </w:numPr>
        <w:spacing w:before="120" w:after="120" w:line="240" w:lineRule="auto"/>
        <w:ind w:left="567"/>
        <w:contextualSpacing w:val="0"/>
        <w:jc w:val="both"/>
        <w:rPr>
          <w:bCs/>
          <w:sz w:val="24"/>
          <w:szCs w:val="24"/>
        </w:rPr>
      </w:pPr>
      <w:r w:rsidRPr="00C37135">
        <w:rPr>
          <w:bCs/>
          <w:sz w:val="24"/>
          <w:szCs w:val="24"/>
          <w:u w:val="single"/>
        </w:rPr>
        <w:t>Paragraf 37</w:t>
      </w:r>
      <w:r w:rsidRPr="00A42E41">
        <w:rPr>
          <w:bCs/>
          <w:sz w:val="24"/>
          <w:szCs w:val="24"/>
        </w:rPr>
        <w:t xml:space="preserve"> zaleca, aby państwa członkowskie</w:t>
      </w:r>
      <w:r>
        <w:rPr>
          <w:bCs/>
          <w:sz w:val="24"/>
          <w:szCs w:val="24"/>
        </w:rPr>
        <w:t>, które</w:t>
      </w:r>
      <w:r w:rsidRPr="00A42E41">
        <w:rPr>
          <w:bCs/>
          <w:sz w:val="24"/>
          <w:szCs w:val="24"/>
        </w:rPr>
        <w:t xml:space="preserve"> zapewni</w:t>
      </w:r>
      <w:r>
        <w:rPr>
          <w:bCs/>
          <w:sz w:val="24"/>
          <w:szCs w:val="24"/>
        </w:rPr>
        <w:t>ają</w:t>
      </w:r>
      <w:r w:rsidRPr="00A42E41">
        <w:rPr>
          <w:bCs/>
          <w:sz w:val="24"/>
          <w:szCs w:val="24"/>
        </w:rPr>
        <w:t xml:space="preserve"> możliwość wniesienia roszczeń cywilnych w związku z naruszeniami praw człowieka, których popełnienie zarzuca się państwowym przedsiębiorstwom lub przedsiębiorstwom</w:t>
      </w:r>
      <w:r>
        <w:rPr>
          <w:bCs/>
          <w:sz w:val="24"/>
          <w:szCs w:val="24"/>
        </w:rPr>
        <w:t>,</w:t>
      </w:r>
      <w:r w:rsidRPr="00A42E41">
        <w:rPr>
          <w:bCs/>
          <w:sz w:val="24"/>
          <w:szCs w:val="24"/>
        </w:rPr>
        <w:t xml:space="preserve"> z którymi państwo zawiera umowy (na przykład w zakresie prywatnych usług wojskowych i bezpieczeństwa, więzień, ośrodków detenc</w:t>
      </w:r>
      <w:r>
        <w:rPr>
          <w:bCs/>
          <w:sz w:val="24"/>
          <w:szCs w:val="24"/>
        </w:rPr>
        <w:t xml:space="preserve">yjnych </w:t>
      </w:r>
      <w:r w:rsidRPr="00A42E41">
        <w:rPr>
          <w:bCs/>
          <w:sz w:val="24"/>
          <w:szCs w:val="24"/>
        </w:rPr>
        <w:t>lub usług transport</w:t>
      </w:r>
      <w:r>
        <w:rPr>
          <w:bCs/>
          <w:sz w:val="24"/>
          <w:szCs w:val="24"/>
        </w:rPr>
        <w:t xml:space="preserve">owych </w:t>
      </w:r>
      <w:r w:rsidRPr="00A42E41">
        <w:rPr>
          <w:bCs/>
          <w:sz w:val="24"/>
          <w:szCs w:val="24"/>
        </w:rPr>
        <w:t>związanych z deportacją imigrantów), powstrz</w:t>
      </w:r>
      <w:r>
        <w:rPr>
          <w:bCs/>
          <w:sz w:val="24"/>
          <w:szCs w:val="24"/>
        </w:rPr>
        <w:t>ymały się od powoływania się na</w:t>
      </w:r>
      <w:r w:rsidRPr="00A42E41">
        <w:rPr>
          <w:bCs/>
          <w:sz w:val="24"/>
          <w:szCs w:val="24"/>
        </w:rPr>
        <w:t xml:space="preserve"> jakiekolwiek przywileje lub immunitety krajowe w ich sądach. Przyjmuje się, że paragraf ten nie odnosi się do immunitetów uznawanych na mocy prawa międzynarodowego</w:t>
      </w:r>
      <w:r>
        <w:rPr>
          <w:bCs/>
          <w:sz w:val="24"/>
          <w:szCs w:val="24"/>
        </w:rPr>
        <w:t xml:space="preserve"> publicznego</w:t>
      </w:r>
      <w:r w:rsidRPr="00A42E41">
        <w:rPr>
          <w:bCs/>
          <w:sz w:val="24"/>
          <w:szCs w:val="24"/>
        </w:rPr>
        <w:t>, które miałyby zastosowanie w postępowaniach sądowych w państwach trzecich.</w:t>
      </w:r>
    </w:p>
    <w:p w:rsidR="00591EC1" w:rsidRPr="00A42E41" w:rsidRDefault="00591EC1" w:rsidP="00E7396B">
      <w:pPr>
        <w:pStyle w:val="Akapitzlist"/>
        <w:spacing w:before="120" w:after="120" w:line="240" w:lineRule="auto"/>
        <w:ind w:left="1080"/>
        <w:contextualSpacing w:val="0"/>
        <w:jc w:val="both"/>
        <w:rPr>
          <w:bCs/>
          <w:sz w:val="24"/>
          <w:szCs w:val="24"/>
        </w:rPr>
      </w:pPr>
    </w:p>
    <w:p w:rsidR="00591EC1" w:rsidRPr="00FE4290" w:rsidRDefault="00591EC1" w:rsidP="00E7396B">
      <w:pPr>
        <w:spacing w:before="120" w:after="120" w:line="240" w:lineRule="auto"/>
        <w:ind w:left="567"/>
        <w:jc w:val="both"/>
        <w:rPr>
          <w:bCs/>
          <w:i/>
          <w:sz w:val="24"/>
          <w:szCs w:val="24"/>
        </w:rPr>
      </w:pPr>
      <w:r w:rsidRPr="00FE4290">
        <w:rPr>
          <w:bCs/>
          <w:i/>
          <w:sz w:val="24"/>
          <w:szCs w:val="24"/>
        </w:rPr>
        <w:t>Doktryny niedotyczące wymiaru sprawiedliwości</w:t>
      </w:r>
    </w:p>
    <w:p w:rsidR="00591EC1" w:rsidRPr="00944D0E" w:rsidRDefault="00591EC1" w:rsidP="00E7396B">
      <w:pPr>
        <w:pStyle w:val="Akapitzlist"/>
        <w:numPr>
          <w:ilvl w:val="0"/>
          <w:numId w:val="19"/>
        </w:numPr>
        <w:spacing w:before="120" w:after="120" w:line="240" w:lineRule="auto"/>
        <w:ind w:left="567"/>
        <w:contextualSpacing w:val="0"/>
        <w:jc w:val="both"/>
        <w:rPr>
          <w:bCs/>
          <w:sz w:val="24"/>
          <w:szCs w:val="24"/>
        </w:rPr>
      </w:pPr>
      <w:r w:rsidRPr="00A42E41">
        <w:rPr>
          <w:bCs/>
          <w:sz w:val="24"/>
          <w:szCs w:val="24"/>
        </w:rPr>
        <w:t>Niektóre doktryny, które mogą być stosowane przez sądy państw członkowskich Rady Europy, mogą mieć negatywny wpływ na dostęp</w:t>
      </w:r>
      <w:r w:rsidRPr="00944D0E">
        <w:t xml:space="preserve"> </w:t>
      </w:r>
      <w:r w:rsidRPr="00944D0E">
        <w:rPr>
          <w:bCs/>
          <w:sz w:val="24"/>
          <w:szCs w:val="24"/>
        </w:rPr>
        <w:t>do wymiaru sprawiedliwości</w:t>
      </w:r>
      <w:r w:rsidRPr="00A42E41">
        <w:rPr>
          <w:bCs/>
          <w:sz w:val="24"/>
          <w:szCs w:val="24"/>
        </w:rPr>
        <w:t xml:space="preserve"> pokrzywdzonych naruszeniami praw człowieka z udziałem przedsiębiorstw</w:t>
      </w:r>
      <w:r>
        <w:rPr>
          <w:bCs/>
          <w:sz w:val="24"/>
          <w:szCs w:val="24"/>
        </w:rPr>
        <w:t>. D</w:t>
      </w:r>
      <w:r w:rsidRPr="00A42E41">
        <w:rPr>
          <w:bCs/>
          <w:sz w:val="24"/>
          <w:szCs w:val="24"/>
        </w:rPr>
        <w:t>oktryny</w:t>
      </w:r>
      <w:r>
        <w:rPr>
          <w:bCs/>
          <w:sz w:val="24"/>
          <w:szCs w:val="24"/>
        </w:rPr>
        <w:t xml:space="preserve"> te</w:t>
      </w:r>
      <w:r w:rsidRPr="00A42E41">
        <w:rPr>
          <w:bCs/>
          <w:sz w:val="24"/>
          <w:szCs w:val="24"/>
        </w:rPr>
        <w:t xml:space="preserve"> mogą albo skutkować brakiem możliwości przypisania</w:t>
      </w:r>
      <w:r>
        <w:rPr>
          <w:bCs/>
          <w:sz w:val="24"/>
          <w:szCs w:val="24"/>
        </w:rPr>
        <w:t xml:space="preserve"> </w:t>
      </w:r>
      <w:r w:rsidRPr="00944D0E">
        <w:rPr>
          <w:bCs/>
          <w:sz w:val="24"/>
          <w:szCs w:val="24"/>
        </w:rPr>
        <w:t>odpowiedzialności cywilnej pozwanemu</w:t>
      </w:r>
      <w:r>
        <w:rPr>
          <w:bCs/>
          <w:sz w:val="24"/>
          <w:szCs w:val="24"/>
        </w:rPr>
        <w:t>,</w:t>
      </w:r>
      <w:r w:rsidRPr="00944D0E">
        <w:rPr>
          <w:bCs/>
          <w:sz w:val="24"/>
          <w:szCs w:val="24"/>
        </w:rPr>
        <w:t xml:space="preserve"> </w:t>
      </w:r>
      <w:r>
        <w:rPr>
          <w:bCs/>
          <w:sz w:val="24"/>
          <w:szCs w:val="24"/>
        </w:rPr>
        <w:t>albo</w:t>
      </w:r>
      <w:r w:rsidRPr="00944D0E">
        <w:rPr>
          <w:bCs/>
          <w:sz w:val="24"/>
          <w:szCs w:val="24"/>
        </w:rPr>
        <w:t xml:space="preserve"> uniemożliwić rozpatrzenie kwestii odpowiedzialności przez określone sądy krajowe. Przykładem takich doktryn są immunitety przyznawane zagranicznym przedsiębiorstwom państwowy</w:t>
      </w:r>
      <w:r>
        <w:rPr>
          <w:bCs/>
          <w:sz w:val="24"/>
          <w:szCs w:val="24"/>
        </w:rPr>
        <w:t>m</w:t>
      </w:r>
      <w:r w:rsidRPr="00944D0E">
        <w:rPr>
          <w:bCs/>
          <w:sz w:val="24"/>
          <w:szCs w:val="24"/>
        </w:rPr>
        <w:t xml:space="preserve"> lub spółkom, w których państwa są znaczącymi udziałowcami. Chociaż nie</w:t>
      </w:r>
      <w:r>
        <w:rPr>
          <w:bCs/>
          <w:sz w:val="24"/>
          <w:szCs w:val="24"/>
        </w:rPr>
        <w:t xml:space="preserve"> cieszą się one</w:t>
      </w:r>
      <w:r w:rsidRPr="00944D0E">
        <w:rPr>
          <w:bCs/>
          <w:sz w:val="24"/>
          <w:szCs w:val="24"/>
        </w:rPr>
        <w:t xml:space="preserve"> immunitet</w:t>
      </w:r>
      <w:r>
        <w:rPr>
          <w:bCs/>
          <w:sz w:val="24"/>
          <w:szCs w:val="24"/>
        </w:rPr>
        <w:t>em</w:t>
      </w:r>
      <w:r w:rsidRPr="00944D0E">
        <w:rPr>
          <w:bCs/>
          <w:sz w:val="24"/>
          <w:szCs w:val="24"/>
        </w:rPr>
        <w:t xml:space="preserve"> w transakcjach handlowych (art. 10 ust. 1 Konwencj</w:t>
      </w:r>
      <w:r>
        <w:rPr>
          <w:bCs/>
          <w:sz w:val="24"/>
          <w:szCs w:val="24"/>
        </w:rPr>
        <w:t>i</w:t>
      </w:r>
      <w:r w:rsidRPr="00944D0E">
        <w:rPr>
          <w:bCs/>
          <w:sz w:val="24"/>
          <w:szCs w:val="24"/>
        </w:rPr>
        <w:t xml:space="preserve"> ONZ o immunitetach jurysdykcyjnych państw i ich </w:t>
      </w:r>
      <w:r>
        <w:rPr>
          <w:bCs/>
          <w:sz w:val="24"/>
          <w:szCs w:val="24"/>
        </w:rPr>
        <w:t>mienia</w:t>
      </w:r>
      <w:r w:rsidRPr="00944D0E">
        <w:rPr>
          <w:bCs/>
          <w:sz w:val="24"/>
          <w:szCs w:val="24"/>
        </w:rPr>
        <w:t xml:space="preserve">, a także art. 7 ust. 1 Europejskiej </w:t>
      </w:r>
      <w:r>
        <w:rPr>
          <w:bCs/>
          <w:sz w:val="24"/>
          <w:szCs w:val="24"/>
        </w:rPr>
        <w:t>k</w:t>
      </w:r>
      <w:r w:rsidRPr="00944D0E">
        <w:rPr>
          <w:bCs/>
          <w:sz w:val="24"/>
          <w:szCs w:val="24"/>
        </w:rPr>
        <w:t>onwencji o immunitecie państwa (ETS. nr 74)</w:t>
      </w:r>
      <w:r>
        <w:rPr>
          <w:bCs/>
          <w:sz w:val="24"/>
          <w:szCs w:val="24"/>
        </w:rPr>
        <w:t>)</w:t>
      </w:r>
      <w:r w:rsidRPr="00944D0E">
        <w:rPr>
          <w:bCs/>
          <w:sz w:val="24"/>
          <w:szCs w:val="24"/>
        </w:rPr>
        <w:t>, sąd krajowy może jednak przyznać immunitet zagranicznemu przedsiębiorstwu państwowemu, jeżeli jego działania przyczyniają się do naruszania praw człowieka, które nie mogą być zakwalifikowane jako</w:t>
      </w:r>
      <w:r>
        <w:rPr>
          <w:bCs/>
          <w:sz w:val="24"/>
          <w:szCs w:val="24"/>
        </w:rPr>
        <w:t xml:space="preserve"> „</w:t>
      </w:r>
      <w:r w:rsidRPr="00944D0E">
        <w:rPr>
          <w:bCs/>
          <w:sz w:val="24"/>
          <w:szCs w:val="24"/>
        </w:rPr>
        <w:t xml:space="preserve">działania </w:t>
      </w:r>
      <w:r>
        <w:rPr>
          <w:bCs/>
          <w:sz w:val="24"/>
          <w:szCs w:val="24"/>
        </w:rPr>
        <w:t>gospodarcze”</w:t>
      </w:r>
      <w:r w:rsidRPr="00944D0E">
        <w:rPr>
          <w:bCs/>
          <w:sz w:val="24"/>
          <w:szCs w:val="24"/>
        </w:rPr>
        <w:t>. Może to stanowić naruszenie prawa dostępu do sądu, zgodnie z art. 6 ust. 1 Konwencji o ochronie praw człowieka i podstawowych wolności. Ponieważ prawo międzynarodowe nie uznaje</w:t>
      </w:r>
      <w:r>
        <w:rPr>
          <w:bCs/>
          <w:sz w:val="24"/>
          <w:szCs w:val="24"/>
        </w:rPr>
        <w:t xml:space="preserve"> jeszcze</w:t>
      </w:r>
      <w:r w:rsidRPr="00944D0E">
        <w:rPr>
          <w:bCs/>
          <w:sz w:val="24"/>
          <w:szCs w:val="24"/>
        </w:rPr>
        <w:t xml:space="preserve"> wyjątków od immunitetu państwa za poważne naruszenia praw człowieka, co zostało potwierdzone zarówno przez Europejski Trybunał Praw Człowieka, jak i Międzynarodowy Trybunał Sprawiedliwości,</w:t>
      </w:r>
      <w:r w:rsidRPr="00A42E41">
        <w:rPr>
          <w:rStyle w:val="Odwoanieprzypisukocowego"/>
          <w:bCs/>
          <w:sz w:val="24"/>
          <w:szCs w:val="24"/>
        </w:rPr>
        <w:endnoteReference w:id="24"/>
      </w:r>
      <w:r w:rsidRPr="00944D0E">
        <w:rPr>
          <w:bCs/>
          <w:sz w:val="24"/>
          <w:szCs w:val="24"/>
        </w:rPr>
        <w:t xml:space="preserve"> domniemane naruszenia praw człowieka spowodowane przez zagraniczne przedsiębiorstwo państwowe może być objęte immunitetem, pod warunkiem że przedsiębiorstwo zostanie uznane</w:t>
      </w:r>
      <w:r>
        <w:rPr>
          <w:bCs/>
          <w:sz w:val="24"/>
          <w:szCs w:val="24"/>
        </w:rPr>
        <w:t xml:space="preserve"> za</w:t>
      </w:r>
      <w:r w:rsidRPr="00944D0E">
        <w:rPr>
          <w:bCs/>
          <w:sz w:val="24"/>
          <w:szCs w:val="24"/>
        </w:rPr>
        <w:t xml:space="preserve"> podmiot państwowy w rozumieniu art. 2 (1) (b) (iii) Konwencji ONZ </w:t>
      </w:r>
      <w:r>
        <w:rPr>
          <w:bCs/>
          <w:sz w:val="24"/>
          <w:szCs w:val="24"/>
        </w:rPr>
        <w:t>o</w:t>
      </w:r>
      <w:r w:rsidRPr="00944D0E">
        <w:rPr>
          <w:bCs/>
          <w:sz w:val="24"/>
          <w:szCs w:val="24"/>
        </w:rPr>
        <w:t xml:space="preserve"> immunitet</w:t>
      </w:r>
      <w:r>
        <w:rPr>
          <w:bCs/>
          <w:sz w:val="24"/>
          <w:szCs w:val="24"/>
        </w:rPr>
        <w:t>ach</w:t>
      </w:r>
      <w:r w:rsidRPr="00944D0E">
        <w:rPr>
          <w:bCs/>
          <w:sz w:val="24"/>
          <w:szCs w:val="24"/>
        </w:rPr>
        <w:t xml:space="preserve"> jurysdykcyjnych</w:t>
      </w:r>
      <w:r>
        <w:rPr>
          <w:bCs/>
          <w:sz w:val="24"/>
          <w:szCs w:val="24"/>
        </w:rPr>
        <w:t xml:space="preserve"> państwa</w:t>
      </w:r>
      <w:r w:rsidRPr="00944D0E">
        <w:rPr>
          <w:bCs/>
          <w:sz w:val="24"/>
          <w:szCs w:val="24"/>
        </w:rPr>
        <w:t xml:space="preserve"> i ich </w:t>
      </w:r>
      <w:r>
        <w:rPr>
          <w:bCs/>
          <w:sz w:val="24"/>
          <w:szCs w:val="24"/>
        </w:rPr>
        <w:t>mienia</w:t>
      </w:r>
      <w:r w:rsidRPr="00944D0E">
        <w:rPr>
          <w:bCs/>
          <w:sz w:val="24"/>
          <w:szCs w:val="24"/>
        </w:rPr>
        <w:t xml:space="preserve">, a jego działania nie będą miały jedynie charakteru komercyjnego. Innym przykładem doktryny niedotyczącej wymiaru </w:t>
      </w:r>
      <w:r w:rsidRPr="00944D0E">
        <w:rPr>
          <w:bCs/>
          <w:sz w:val="24"/>
          <w:szCs w:val="24"/>
        </w:rPr>
        <w:lastRenderedPageBreak/>
        <w:t xml:space="preserve">sprawiedliwości byłaby doktryna </w:t>
      </w:r>
      <w:r w:rsidRPr="00572AB9">
        <w:rPr>
          <w:bCs/>
          <w:sz w:val="24"/>
          <w:szCs w:val="24"/>
        </w:rPr>
        <w:t xml:space="preserve">„aktu władzy publicznej” (oryg. </w:t>
      </w:r>
      <w:proofErr w:type="spellStart"/>
      <w:r w:rsidRPr="00572AB9">
        <w:rPr>
          <w:bCs/>
          <w:i/>
          <w:sz w:val="24"/>
          <w:szCs w:val="24"/>
        </w:rPr>
        <w:t>Act</w:t>
      </w:r>
      <w:proofErr w:type="spellEnd"/>
      <w:r w:rsidRPr="00572AB9">
        <w:rPr>
          <w:bCs/>
          <w:i/>
          <w:sz w:val="24"/>
          <w:szCs w:val="24"/>
        </w:rPr>
        <w:t xml:space="preserve"> of </w:t>
      </w:r>
      <w:proofErr w:type="spellStart"/>
      <w:r w:rsidRPr="00572AB9">
        <w:rPr>
          <w:bCs/>
          <w:i/>
          <w:sz w:val="24"/>
          <w:szCs w:val="24"/>
        </w:rPr>
        <w:t>State</w:t>
      </w:r>
      <w:proofErr w:type="spellEnd"/>
      <w:r w:rsidRPr="00572AB9">
        <w:rPr>
          <w:bCs/>
          <w:sz w:val="24"/>
          <w:szCs w:val="24"/>
        </w:rPr>
        <w:t>), zgodnie</w:t>
      </w:r>
      <w:r w:rsidRPr="00944D0E">
        <w:rPr>
          <w:bCs/>
          <w:sz w:val="24"/>
          <w:szCs w:val="24"/>
        </w:rPr>
        <w:t xml:space="preserve"> z którą sądy krajowe są zobowiązane do poszanowania niezależności każdego innego suwerennego państwa, </w:t>
      </w:r>
      <w:r w:rsidRPr="00572AB9">
        <w:rPr>
          <w:bCs/>
          <w:sz w:val="24"/>
          <w:szCs w:val="24"/>
        </w:rPr>
        <w:t>w związku z czym nie powinny osądzać działań innego państwa na jego własnym terytorium.</w:t>
      </w:r>
      <w:r w:rsidRPr="00572AB9">
        <w:rPr>
          <w:rStyle w:val="Odwoanieprzypisukocowego"/>
          <w:bCs/>
          <w:sz w:val="24"/>
          <w:szCs w:val="24"/>
        </w:rPr>
        <w:endnoteReference w:id="25"/>
      </w:r>
      <w:r>
        <w:rPr>
          <w:bCs/>
          <w:sz w:val="24"/>
          <w:szCs w:val="24"/>
        </w:rPr>
        <w:t xml:space="preserve"> </w:t>
      </w:r>
      <w:r w:rsidRPr="00944D0E">
        <w:rPr>
          <w:bCs/>
          <w:sz w:val="24"/>
          <w:szCs w:val="24"/>
        </w:rPr>
        <w:t xml:space="preserve">Trzecim przykładem może być </w:t>
      </w:r>
      <w:r>
        <w:rPr>
          <w:bCs/>
          <w:sz w:val="24"/>
          <w:szCs w:val="24"/>
        </w:rPr>
        <w:t>doktryna dotycząca „kwestii politycznych”</w:t>
      </w:r>
      <w:r w:rsidRPr="00944D0E">
        <w:rPr>
          <w:bCs/>
          <w:sz w:val="24"/>
          <w:szCs w:val="24"/>
        </w:rPr>
        <w:t xml:space="preserve"> (oryg. </w:t>
      </w:r>
      <w:proofErr w:type="spellStart"/>
      <w:r w:rsidRPr="00944D0E">
        <w:rPr>
          <w:bCs/>
          <w:i/>
          <w:sz w:val="24"/>
          <w:szCs w:val="24"/>
        </w:rPr>
        <w:t>political</w:t>
      </w:r>
      <w:proofErr w:type="spellEnd"/>
      <w:r w:rsidRPr="00944D0E">
        <w:rPr>
          <w:bCs/>
          <w:i/>
          <w:sz w:val="24"/>
          <w:szCs w:val="24"/>
        </w:rPr>
        <w:t xml:space="preserve"> </w:t>
      </w:r>
      <w:proofErr w:type="spellStart"/>
      <w:r w:rsidRPr="00944D0E">
        <w:rPr>
          <w:bCs/>
          <w:i/>
          <w:sz w:val="24"/>
          <w:szCs w:val="24"/>
        </w:rPr>
        <w:t>question</w:t>
      </w:r>
      <w:proofErr w:type="spellEnd"/>
      <w:r w:rsidRPr="00944D0E">
        <w:rPr>
          <w:bCs/>
          <w:sz w:val="24"/>
          <w:szCs w:val="24"/>
        </w:rPr>
        <w:t xml:space="preserve">), zgodnie </w:t>
      </w:r>
      <w:r>
        <w:rPr>
          <w:bCs/>
          <w:sz w:val="24"/>
          <w:szCs w:val="24"/>
        </w:rPr>
        <w:t xml:space="preserve">z którą </w:t>
      </w:r>
      <w:r w:rsidRPr="00944D0E">
        <w:rPr>
          <w:bCs/>
          <w:sz w:val="24"/>
          <w:szCs w:val="24"/>
        </w:rPr>
        <w:t xml:space="preserve">ocenie sądu podlegają kwestie prawne, natomiast kwestie polityczne nie są rozstrzygane na drodze sądowej. </w:t>
      </w:r>
      <w:r w:rsidRPr="00572AB9">
        <w:rPr>
          <w:bCs/>
          <w:sz w:val="24"/>
          <w:szCs w:val="24"/>
          <w:u w:val="single"/>
        </w:rPr>
        <w:t>Paragraf 38 Rekomendacji</w:t>
      </w:r>
      <w:r w:rsidRPr="00944D0E">
        <w:rPr>
          <w:bCs/>
          <w:sz w:val="24"/>
          <w:szCs w:val="24"/>
        </w:rPr>
        <w:t xml:space="preserve"> wskazuje, że stosowanie powyższych doktryn nie powinno nadmiernie ograniczać możliwości wniesienia roszczenia cywilnego dotyczące</w:t>
      </w:r>
      <w:r>
        <w:rPr>
          <w:bCs/>
          <w:sz w:val="24"/>
          <w:szCs w:val="24"/>
        </w:rPr>
        <w:t>go</w:t>
      </w:r>
      <w:r w:rsidRPr="00944D0E">
        <w:rPr>
          <w:bCs/>
          <w:sz w:val="24"/>
          <w:szCs w:val="24"/>
        </w:rPr>
        <w:t xml:space="preserve"> naruszeń praw człowie</w:t>
      </w:r>
      <w:r>
        <w:rPr>
          <w:bCs/>
          <w:sz w:val="24"/>
          <w:szCs w:val="24"/>
        </w:rPr>
        <w:t>ka z udziałem przedsiębiorstw</w:t>
      </w:r>
      <w:r w:rsidRPr="00944D0E">
        <w:rPr>
          <w:bCs/>
          <w:sz w:val="24"/>
          <w:szCs w:val="24"/>
        </w:rPr>
        <w:t>.</w:t>
      </w:r>
    </w:p>
    <w:p w:rsidR="00591EC1" w:rsidRPr="00A42E41" w:rsidRDefault="00591EC1" w:rsidP="00E7396B">
      <w:pPr>
        <w:pStyle w:val="Akapitzlist"/>
        <w:spacing w:before="120" w:after="120" w:line="240" w:lineRule="auto"/>
        <w:ind w:left="1080"/>
        <w:contextualSpacing w:val="0"/>
        <w:jc w:val="both"/>
        <w:rPr>
          <w:bCs/>
          <w:sz w:val="24"/>
          <w:szCs w:val="24"/>
        </w:rPr>
      </w:pPr>
    </w:p>
    <w:p w:rsidR="00591EC1" w:rsidRPr="00FE4290" w:rsidRDefault="00591EC1" w:rsidP="00E7396B">
      <w:pPr>
        <w:spacing w:before="120" w:after="120" w:line="240" w:lineRule="auto"/>
        <w:ind w:left="567"/>
        <w:jc w:val="both"/>
        <w:rPr>
          <w:bCs/>
          <w:i/>
          <w:sz w:val="24"/>
          <w:szCs w:val="24"/>
        </w:rPr>
      </w:pPr>
      <w:r w:rsidRPr="00FE4290">
        <w:rPr>
          <w:bCs/>
          <w:i/>
          <w:sz w:val="24"/>
          <w:szCs w:val="24"/>
        </w:rPr>
        <w:t>Status prawny osób trzecich i zbiorowe rozpatrywanie podobnych spraw</w:t>
      </w:r>
    </w:p>
    <w:p w:rsidR="00591EC1" w:rsidRPr="00A42E41" w:rsidRDefault="00591EC1" w:rsidP="00E7396B">
      <w:pPr>
        <w:pStyle w:val="Akapitzlist"/>
        <w:numPr>
          <w:ilvl w:val="0"/>
          <w:numId w:val="19"/>
        </w:numPr>
        <w:spacing w:before="120" w:after="120" w:line="240" w:lineRule="auto"/>
        <w:ind w:left="567"/>
        <w:contextualSpacing w:val="0"/>
        <w:jc w:val="both"/>
        <w:rPr>
          <w:bCs/>
          <w:sz w:val="24"/>
          <w:szCs w:val="24"/>
        </w:rPr>
      </w:pPr>
      <w:r w:rsidRPr="00572AB9">
        <w:rPr>
          <w:bCs/>
          <w:sz w:val="24"/>
          <w:szCs w:val="24"/>
          <w:u w:val="single"/>
        </w:rPr>
        <w:t>Paragraf 39 Rekomendacji</w:t>
      </w:r>
      <w:r w:rsidRPr="00A42E41">
        <w:rPr>
          <w:bCs/>
          <w:sz w:val="24"/>
          <w:szCs w:val="24"/>
        </w:rPr>
        <w:t xml:space="preserve"> sugeruje, by państwa członkowskie rozważyły przyjęcie środków, które umożliwiałyby podmiotom trzecim, takim jak fundacje, stowarzyszenia, związki zawodowe i inne organizacje</w:t>
      </w:r>
      <w:r>
        <w:rPr>
          <w:bCs/>
          <w:sz w:val="24"/>
          <w:szCs w:val="24"/>
        </w:rPr>
        <w:t>,</w:t>
      </w:r>
      <w:r w:rsidRPr="00A42E41">
        <w:rPr>
          <w:bCs/>
          <w:sz w:val="24"/>
          <w:szCs w:val="24"/>
        </w:rPr>
        <w:t xml:space="preserve"> występowanie z roszczeniem w imieniu domniemanych ofiar, natomiast </w:t>
      </w:r>
      <w:r w:rsidRPr="00572AB9">
        <w:rPr>
          <w:bCs/>
          <w:sz w:val="24"/>
          <w:szCs w:val="24"/>
          <w:u w:val="single"/>
        </w:rPr>
        <w:t>paragraf 42 Rekomendacji</w:t>
      </w:r>
      <w:r w:rsidRPr="00A42E41">
        <w:rPr>
          <w:bCs/>
          <w:sz w:val="24"/>
          <w:szCs w:val="24"/>
        </w:rPr>
        <w:t xml:space="preserve"> sugeruje, by państwa członkowskie rozważyły możliwe rozwiązania dla zbiorowego rozpatr</w:t>
      </w:r>
      <w:r>
        <w:rPr>
          <w:bCs/>
          <w:sz w:val="24"/>
          <w:szCs w:val="24"/>
        </w:rPr>
        <w:t>ywania</w:t>
      </w:r>
      <w:r w:rsidRPr="00A42E41">
        <w:rPr>
          <w:bCs/>
          <w:sz w:val="24"/>
          <w:szCs w:val="24"/>
        </w:rPr>
        <w:t xml:space="preserve"> podobnych spraw dotyczących narusze</w:t>
      </w:r>
      <w:r>
        <w:rPr>
          <w:bCs/>
          <w:sz w:val="24"/>
          <w:szCs w:val="24"/>
        </w:rPr>
        <w:t>ń</w:t>
      </w:r>
      <w:r w:rsidRPr="00A42E41">
        <w:rPr>
          <w:bCs/>
          <w:sz w:val="24"/>
          <w:szCs w:val="24"/>
        </w:rPr>
        <w:t xml:space="preserve"> praw człowieka z udziałem przedsiębiorstw. Chociaż nie wszystkie państwa członkowskie Rady Europy przewidują mechanizm zbiorowych roszczeń (tj. gdy duża grupa wnioskodawców może być reprezentowana przez prawnika w jednym postępowaniu), możliwe są inne sposoby zbiorowego rozpatrywania wielu identycznych roszczeń, które te państwa członkowskie mogłyby rozważ</w:t>
      </w:r>
      <w:r>
        <w:rPr>
          <w:bCs/>
          <w:sz w:val="24"/>
          <w:szCs w:val="24"/>
        </w:rPr>
        <w:t>y</w:t>
      </w:r>
      <w:r w:rsidRPr="00A42E41">
        <w:rPr>
          <w:bCs/>
          <w:sz w:val="24"/>
          <w:szCs w:val="24"/>
        </w:rPr>
        <w:t>ć. Na takich zbiorowych rozwiązaniach domniemane ofiary mogłyby skorzystać poprzez znaczne zmniejszenie ich osobiste</w:t>
      </w:r>
      <w:r>
        <w:rPr>
          <w:bCs/>
          <w:sz w:val="24"/>
          <w:szCs w:val="24"/>
        </w:rPr>
        <w:t>go</w:t>
      </w:r>
      <w:r w:rsidRPr="00A42E41">
        <w:rPr>
          <w:bCs/>
          <w:sz w:val="24"/>
          <w:szCs w:val="24"/>
        </w:rPr>
        <w:t xml:space="preserve"> zaangażowania i kosztów sądowych w postępowaniu, przy jednoczesnym zwiększeniu ich dostępu do środka zaradczego. Jednym z</w:t>
      </w:r>
      <w:r>
        <w:rPr>
          <w:bCs/>
          <w:sz w:val="24"/>
          <w:szCs w:val="24"/>
        </w:rPr>
        <w:t>e</w:t>
      </w:r>
      <w:r w:rsidRPr="00A42E41">
        <w:rPr>
          <w:bCs/>
          <w:sz w:val="24"/>
          <w:szCs w:val="24"/>
        </w:rPr>
        <w:t xml:space="preserve"> sposobów mo</w:t>
      </w:r>
      <w:r>
        <w:rPr>
          <w:bCs/>
          <w:sz w:val="24"/>
          <w:szCs w:val="24"/>
        </w:rPr>
        <w:t>głoby</w:t>
      </w:r>
      <w:r w:rsidRPr="00A42E41">
        <w:rPr>
          <w:bCs/>
          <w:sz w:val="24"/>
          <w:szCs w:val="24"/>
        </w:rPr>
        <w:t xml:space="preserve"> być umożliwienie pewnym organizacjom wnoszenia roszczeń w imieniu nieograniczonej liczby domniemanych ofiar, zgodnie </w:t>
      </w:r>
      <w:r w:rsidRPr="00572AB9">
        <w:rPr>
          <w:bCs/>
          <w:sz w:val="24"/>
          <w:szCs w:val="24"/>
          <w:u w:val="single"/>
        </w:rPr>
        <w:t>z paragrafem 39 Rekomendacji</w:t>
      </w:r>
      <w:r w:rsidRPr="00A42E41">
        <w:rPr>
          <w:bCs/>
          <w:sz w:val="24"/>
          <w:szCs w:val="24"/>
        </w:rPr>
        <w:t>. Inne warianty mog</w:t>
      </w:r>
      <w:r>
        <w:rPr>
          <w:bCs/>
          <w:sz w:val="24"/>
          <w:szCs w:val="24"/>
        </w:rPr>
        <w:t>łyby</w:t>
      </w:r>
      <w:r w:rsidRPr="00A42E41">
        <w:rPr>
          <w:bCs/>
          <w:sz w:val="24"/>
          <w:szCs w:val="24"/>
        </w:rPr>
        <w:t xml:space="preserve"> </w:t>
      </w:r>
      <w:r>
        <w:rPr>
          <w:bCs/>
          <w:sz w:val="24"/>
          <w:szCs w:val="24"/>
        </w:rPr>
        <w:t>polegać na</w:t>
      </w:r>
      <w:r w:rsidRPr="00A42E41">
        <w:rPr>
          <w:bCs/>
          <w:sz w:val="24"/>
          <w:szCs w:val="24"/>
        </w:rPr>
        <w:t xml:space="preserve"> tworzeni</w:t>
      </w:r>
      <w:r>
        <w:rPr>
          <w:bCs/>
          <w:sz w:val="24"/>
          <w:szCs w:val="24"/>
        </w:rPr>
        <w:t>u</w:t>
      </w:r>
      <w:r w:rsidRPr="00A42E41">
        <w:rPr>
          <w:bCs/>
          <w:sz w:val="24"/>
          <w:szCs w:val="24"/>
        </w:rPr>
        <w:t xml:space="preserve"> systemów </w:t>
      </w:r>
      <w:r>
        <w:rPr>
          <w:bCs/>
          <w:sz w:val="24"/>
          <w:szCs w:val="24"/>
        </w:rPr>
        <w:t>„</w:t>
      </w:r>
      <w:proofErr w:type="spellStart"/>
      <w:r w:rsidRPr="00A42E41">
        <w:rPr>
          <w:bCs/>
          <w:sz w:val="24"/>
          <w:szCs w:val="24"/>
        </w:rPr>
        <w:t>opt</w:t>
      </w:r>
      <w:proofErr w:type="spellEnd"/>
      <w:r w:rsidRPr="00A42E41">
        <w:rPr>
          <w:bCs/>
          <w:sz w:val="24"/>
          <w:szCs w:val="24"/>
        </w:rPr>
        <w:t>-in</w:t>
      </w:r>
      <w:r>
        <w:rPr>
          <w:bCs/>
          <w:sz w:val="24"/>
          <w:szCs w:val="24"/>
        </w:rPr>
        <w:t>”</w:t>
      </w:r>
      <w:r w:rsidRPr="00A42E41">
        <w:rPr>
          <w:bCs/>
          <w:sz w:val="24"/>
          <w:szCs w:val="24"/>
        </w:rPr>
        <w:t xml:space="preserve"> w </w:t>
      </w:r>
      <w:r w:rsidRPr="00572AB9">
        <w:rPr>
          <w:bCs/>
          <w:sz w:val="24"/>
          <w:szCs w:val="24"/>
        </w:rPr>
        <w:t xml:space="preserve">przypadku </w:t>
      </w:r>
      <w:r>
        <w:rPr>
          <w:bCs/>
          <w:sz w:val="24"/>
          <w:szCs w:val="24"/>
        </w:rPr>
        <w:t>rozstrzygnięć</w:t>
      </w:r>
      <w:r w:rsidRPr="00572AB9">
        <w:rPr>
          <w:bCs/>
          <w:sz w:val="24"/>
          <w:szCs w:val="24"/>
        </w:rPr>
        <w:t xml:space="preserve">, które odnosiłyby się do dużej liczby roszczeń, </w:t>
      </w:r>
      <w:r>
        <w:rPr>
          <w:bCs/>
          <w:sz w:val="24"/>
          <w:szCs w:val="24"/>
        </w:rPr>
        <w:t>na</w:t>
      </w:r>
      <w:r w:rsidRPr="00572AB9">
        <w:rPr>
          <w:bCs/>
          <w:sz w:val="24"/>
          <w:szCs w:val="24"/>
        </w:rPr>
        <w:t xml:space="preserve"> pr</w:t>
      </w:r>
      <w:r w:rsidRPr="00A42E41">
        <w:rPr>
          <w:bCs/>
          <w:sz w:val="24"/>
          <w:szCs w:val="24"/>
        </w:rPr>
        <w:t>zyłącz</w:t>
      </w:r>
      <w:r>
        <w:rPr>
          <w:bCs/>
          <w:sz w:val="24"/>
          <w:szCs w:val="24"/>
        </w:rPr>
        <w:t>aniu</w:t>
      </w:r>
      <w:r w:rsidRPr="00A42E41">
        <w:rPr>
          <w:bCs/>
          <w:sz w:val="24"/>
          <w:szCs w:val="24"/>
        </w:rPr>
        <w:t xml:space="preserve"> się do spraw o podobnych okolicznościach faktycznych i zagadnie</w:t>
      </w:r>
      <w:r>
        <w:rPr>
          <w:bCs/>
          <w:sz w:val="24"/>
          <w:szCs w:val="24"/>
        </w:rPr>
        <w:t>niach</w:t>
      </w:r>
      <w:r w:rsidRPr="00A42E41">
        <w:rPr>
          <w:bCs/>
          <w:sz w:val="24"/>
          <w:szCs w:val="24"/>
        </w:rPr>
        <w:t xml:space="preserve"> prawnych lub na przen</w:t>
      </w:r>
      <w:r>
        <w:rPr>
          <w:bCs/>
          <w:sz w:val="24"/>
          <w:szCs w:val="24"/>
        </w:rPr>
        <w:t>oszeniu</w:t>
      </w:r>
      <w:r w:rsidRPr="00A42E41">
        <w:rPr>
          <w:bCs/>
          <w:sz w:val="24"/>
          <w:szCs w:val="24"/>
        </w:rPr>
        <w:t xml:space="preserve"> roszcze</w:t>
      </w:r>
      <w:r>
        <w:rPr>
          <w:bCs/>
          <w:sz w:val="24"/>
          <w:szCs w:val="24"/>
        </w:rPr>
        <w:t>ń</w:t>
      </w:r>
      <w:r w:rsidRPr="00A42E41">
        <w:rPr>
          <w:bCs/>
          <w:sz w:val="24"/>
          <w:szCs w:val="24"/>
        </w:rPr>
        <w:t xml:space="preserve"> na rzecz osoby trzeciej w celu wniesienia powództwa do sądu. Przyjmuje się</w:t>
      </w:r>
      <w:r>
        <w:rPr>
          <w:bCs/>
          <w:sz w:val="24"/>
          <w:szCs w:val="24"/>
        </w:rPr>
        <w:t>, że określenie „</w:t>
      </w:r>
      <w:r w:rsidRPr="00A42E41">
        <w:rPr>
          <w:bCs/>
          <w:sz w:val="24"/>
          <w:szCs w:val="24"/>
        </w:rPr>
        <w:t>zbiorowe</w:t>
      </w:r>
      <w:r>
        <w:rPr>
          <w:bCs/>
          <w:sz w:val="24"/>
          <w:szCs w:val="24"/>
        </w:rPr>
        <w:t xml:space="preserve"> rozpatrzenie podobnych spraw”</w:t>
      </w:r>
      <w:r w:rsidRPr="00A42E41">
        <w:rPr>
          <w:bCs/>
          <w:sz w:val="24"/>
          <w:szCs w:val="24"/>
        </w:rPr>
        <w:t xml:space="preserve"> obejmuje również orzekanie w połączonych sprawach, oraz</w:t>
      </w:r>
      <w:r>
        <w:rPr>
          <w:bCs/>
          <w:sz w:val="24"/>
          <w:szCs w:val="24"/>
        </w:rPr>
        <w:t xml:space="preserve"> że określenie „w imieniu ofiar”</w:t>
      </w:r>
      <w:r w:rsidRPr="00A42E41">
        <w:rPr>
          <w:bCs/>
          <w:sz w:val="24"/>
          <w:szCs w:val="24"/>
        </w:rPr>
        <w:t xml:space="preserve"> </w:t>
      </w:r>
      <w:r>
        <w:rPr>
          <w:bCs/>
          <w:sz w:val="24"/>
          <w:szCs w:val="24"/>
        </w:rPr>
        <w:t>implikuje</w:t>
      </w:r>
      <w:r w:rsidRPr="00A42E41">
        <w:rPr>
          <w:bCs/>
          <w:sz w:val="24"/>
          <w:szCs w:val="24"/>
        </w:rPr>
        <w:t>, że takie roszczenia nie mog</w:t>
      </w:r>
      <w:r>
        <w:rPr>
          <w:bCs/>
          <w:sz w:val="24"/>
          <w:szCs w:val="24"/>
        </w:rPr>
        <w:t>łyby</w:t>
      </w:r>
      <w:r w:rsidRPr="00A42E41">
        <w:rPr>
          <w:bCs/>
          <w:sz w:val="24"/>
          <w:szCs w:val="24"/>
        </w:rPr>
        <w:t xml:space="preserve"> być wytoczone bez ich zgody i bez określonego związku z nimi.</w:t>
      </w:r>
    </w:p>
    <w:p w:rsidR="00591EC1" w:rsidRPr="00A42E41" w:rsidRDefault="00591EC1" w:rsidP="00E7396B">
      <w:pPr>
        <w:pStyle w:val="Akapitzlist"/>
        <w:spacing w:before="120" w:after="120" w:line="240" w:lineRule="auto"/>
        <w:ind w:left="1080"/>
        <w:contextualSpacing w:val="0"/>
        <w:jc w:val="both"/>
        <w:rPr>
          <w:bCs/>
          <w:sz w:val="24"/>
          <w:szCs w:val="24"/>
        </w:rPr>
      </w:pPr>
    </w:p>
    <w:p w:rsidR="00591EC1" w:rsidRPr="00FE4290" w:rsidRDefault="00591EC1" w:rsidP="00E7396B">
      <w:pPr>
        <w:spacing w:before="120" w:after="120" w:line="240" w:lineRule="auto"/>
        <w:ind w:left="567"/>
        <w:jc w:val="both"/>
        <w:rPr>
          <w:bCs/>
          <w:i/>
          <w:sz w:val="24"/>
          <w:szCs w:val="24"/>
        </w:rPr>
      </w:pPr>
      <w:r w:rsidRPr="00FE4290">
        <w:rPr>
          <w:bCs/>
          <w:i/>
          <w:sz w:val="24"/>
          <w:szCs w:val="24"/>
        </w:rPr>
        <w:t>Stosowanie prawa krajowego w zgodzie z międzynarodowymi traktatami dotyczącymi praw człowieka</w:t>
      </w:r>
    </w:p>
    <w:p w:rsidR="00591EC1" w:rsidRPr="00A42E41" w:rsidRDefault="00591EC1" w:rsidP="00E7396B">
      <w:pPr>
        <w:pStyle w:val="Akapitzlist"/>
        <w:numPr>
          <w:ilvl w:val="0"/>
          <w:numId w:val="19"/>
        </w:numPr>
        <w:spacing w:before="120" w:after="120" w:line="240" w:lineRule="auto"/>
        <w:ind w:left="567"/>
        <w:contextualSpacing w:val="0"/>
        <w:jc w:val="both"/>
        <w:rPr>
          <w:bCs/>
          <w:sz w:val="24"/>
          <w:szCs w:val="24"/>
        </w:rPr>
      </w:pPr>
      <w:r w:rsidRPr="00572AB9">
        <w:rPr>
          <w:bCs/>
          <w:sz w:val="24"/>
          <w:szCs w:val="24"/>
          <w:u w:val="single"/>
        </w:rPr>
        <w:t>Paragraf 40 Rekomendacji</w:t>
      </w:r>
      <w:r w:rsidRPr="00A42E41">
        <w:rPr>
          <w:bCs/>
          <w:sz w:val="24"/>
          <w:szCs w:val="24"/>
        </w:rPr>
        <w:t xml:space="preserve"> przypomina państwom członkowskim, że powinny stosować takie środki ustawodawcze lub inne właściwe, aby zapewnić zgodność z Konwencją o ochronie praw czł</w:t>
      </w:r>
      <w:r>
        <w:rPr>
          <w:bCs/>
          <w:sz w:val="24"/>
          <w:szCs w:val="24"/>
        </w:rPr>
        <w:t>owieka i podstawowych wolności oraz z</w:t>
      </w:r>
      <w:r w:rsidRPr="00A42E41">
        <w:rPr>
          <w:bCs/>
          <w:sz w:val="24"/>
          <w:szCs w:val="24"/>
        </w:rPr>
        <w:t xml:space="preserve"> orzecznictwem Trybunału, a także z innymi międzynarodowymi i europejskimi instrumentami praw człowieka, takimi jak Międzynarodowy Pakt Praw Obywatelskich i Politycznych, Międzynarodowy Pakt Praw Gospodarczych, Społecznych i Kulturalnych, odpowiednie </w:t>
      </w:r>
      <w:r>
        <w:rPr>
          <w:bCs/>
          <w:sz w:val="24"/>
          <w:szCs w:val="24"/>
        </w:rPr>
        <w:t>k</w:t>
      </w:r>
      <w:r w:rsidRPr="00A42E41">
        <w:rPr>
          <w:bCs/>
          <w:sz w:val="24"/>
          <w:szCs w:val="24"/>
        </w:rPr>
        <w:t xml:space="preserve">onwencje MOP, Europejska Karta Społeczna (zrewidowana), jak również Karta Praw Podstawowych Unii Europejskiej, o ile związały się powyższymi traktatami. Może to być szczególnie istotne </w:t>
      </w:r>
      <w:r w:rsidRPr="00A42E41">
        <w:rPr>
          <w:bCs/>
          <w:sz w:val="24"/>
          <w:szCs w:val="24"/>
        </w:rPr>
        <w:lastRenderedPageBreak/>
        <w:t>w przypadku</w:t>
      </w:r>
      <w:r>
        <w:rPr>
          <w:bCs/>
          <w:sz w:val="24"/>
          <w:szCs w:val="24"/>
        </w:rPr>
        <w:t>,</w:t>
      </w:r>
      <w:r w:rsidRPr="00A42E41">
        <w:rPr>
          <w:bCs/>
          <w:sz w:val="24"/>
          <w:szCs w:val="24"/>
        </w:rPr>
        <w:t xml:space="preserve"> gdy normy kolizyjne prowadzą do zastosowania przepisów prawa </w:t>
      </w:r>
      <w:r>
        <w:rPr>
          <w:bCs/>
          <w:sz w:val="24"/>
          <w:szCs w:val="24"/>
        </w:rPr>
        <w:t>obcego</w:t>
      </w:r>
      <w:r w:rsidRPr="00A42E41">
        <w:rPr>
          <w:bCs/>
          <w:sz w:val="24"/>
          <w:szCs w:val="24"/>
        </w:rPr>
        <w:t>, które są niezgodne z powyższymi standardami praw człowieka. Klauzule porządku publicznego są użytecznymi narzędziami w celu zniwelowania tego problemu. Na przykład w Wielkiej Brytanii, pomimo klauzul porządku publicznego podlegających wąskiej interpretacji</w:t>
      </w:r>
      <w:r>
        <w:rPr>
          <w:bCs/>
          <w:sz w:val="24"/>
          <w:szCs w:val="24"/>
        </w:rPr>
        <w:t>,</w:t>
      </w:r>
      <w:r w:rsidRPr="00A42E41">
        <w:rPr>
          <w:bCs/>
          <w:sz w:val="24"/>
          <w:szCs w:val="24"/>
        </w:rPr>
        <w:t xml:space="preserve"> sądy popierają pogląd, że przepisy prawa </w:t>
      </w:r>
      <w:r>
        <w:rPr>
          <w:bCs/>
          <w:sz w:val="24"/>
          <w:szCs w:val="24"/>
        </w:rPr>
        <w:t>obcego</w:t>
      </w:r>
      <w:r w:rsidRPr="00A42E41">
        <w:rPr>
          <w:bCs/>
          <w:sz w:val="24"/>
          <w:szCs w:val="24"/>
        </w:rPr>
        <w:t>, które naruszają prawa człowieka</w:t>
      </w:r>
      <w:r>
        <w:rPr>
          <w:bCs/>
          <w:sz w:val="24"/>
          <w:szCs w:val="24"/>
        </w:rPr>
        <w:t>,</w:t>
      </w:r>
      <w:r w:rsidRPr="00A42E41">
        <w:rPr>
          <w:bCs/>
          <w:sz w:val="24"/>
          <w:szCs w:val="24"/>
        </w:rPr>
        <w:t xml:space="preserve"> nie powinny być </w:t>
      </w:r>
      <w:r>
        <w:rPr>
          <w:bCs/>
          <w:sz w:val="24"/>
          <w:szCs w:val="24"/>
        </w:rPr>
        <w:t>stosowane</w:t>
      </w:r>
      <w:r w:rsidRPr="00A42E41">
        <w:rPr>
          <w:bCs/>
          <w:sz w:val="24"/>
          <w:szCs w:val="24"/>
        </w:rPr>
        <w:t>.</w:t>
      </w:r>
      <w:r w:rsidRPr="00A42E41">
        <w:rPr>
          <w:rStyle w:val="Odwoanieprzypisukocowego"/>
          <w:bCs/>
          <w:sz w:val="24"/>
          <w:szCs w:val="24"/>
        </w:rPr>
        <w:endnoteReference w:id="26"/>
      </w:r>
      <w:r w:rsidRPr="00A42E41">
        <w:rPr>
          <w:bCs/>
          <w:sz w:val="24"/>
          <w:szCs w:val="24"/>
        </w:rPr>
        <w:t xml:space="preserve"> </w:t>
      </w:r>
    </w:p>
    <w:p w:rsidR="00A52948" w:rsidRDefault="00A52948" w:rsidP="00E7396B">
      <w:pPr>
        <w:spacing w:before="120" w:after="120" w:line="240" w:lineRule="auto"/>
        <w:ind w:left="567"/>
        <w:jc w:val="both"/>
        <w:rPr>
          <w:bCs/>
          <w:i/>
          <w:sz w:val="24"/>
          <w:szCs w:val="24"/>
        </w:rPr>
      </w:pPr>
    </w:p>
    <w:p w:rsidR="00591EC1" w:rsidRPr="00A42E41" w:rsidRDefault="00591EC1" w:rsidP="00E7396B">
      <w:pPr>
        <w:spacing w:before="120" w:after="120" w:line="240" w:lineRule="auto"/>
        <w:ind w:left="567"/>
        <w:jc w:val="both"/>
        <w:rPr>
          <w:bCs/>
          <w:i/>
          <w:sz w:val="24"/>
          <w:szCs w:val="24"/>
        </w:rPr>
      </w:pPr>
      <w:r w:rsidRPr="00A42E41">
        <w:rPr>
          <w:bCs/>
          <w:i/>
          <w:sz w:val="24"/>
          <w:szCs w:val="24"/>
        </w:rPr>
        <w:t>Wybór prawa właściwego, gdy szkoda powstała w kraju trzecim</w:t>
      </w:r>
    </w:p>
    <w:p w:rsidR="00591EC1" w:rsidRPr="00A42E41" w:rsidRDefault="00591EC1" w:rsidP="00E7396B">
      <w:pPr>
        <w:pStyle w:val="Akapitzlist"/>
        <w:numPr>
          <w:ilvl w:val="0"/>
          <w:numId w:val="19"/>
        </w:numPr>
        <w:spacing w:before="120" w:after="120" w:line="240" w:lineRule="auto"/>
        <w:ind w:left="567"/>
        <w:contextualSpacing w:val="0"/>
        <w:jc w:val="both"/>
        <w:rPr>
          <w:bCs/>
          <w:sz w:val="24"/>
          <w:szCs w:val="24"/>
        </w:rPr>
      </w:pPr>
      <w:r w:rsidRPr="00A42E41">
        <w:rPr>
          <w:bCs/>
          <w:sz w:val="24"/>
          <w:szCs w:val="24"/>
        </w:rPr>
        <w:t>Wobec roszczeń z tytułu poniesionej</w:t>
      </w:r>
      <w:r>
        <w:rPr>
          <w:bCs/>
          <w:sz w:val="24"/>
          <w:szCs w:val="24"/>
        </w:rPr>
        <w:t xml:space="preserve"> szkody, która powstała na terenie </w:t>
      </w:r>
      <w:r w:rsidRPr="00A42E41">
        <w:rPr>
          <w:bCs/>
          <w:sz w:val="24"/>
          <w:szCs w:val="24"/>
        </w:rPr>
        <w:t>innej jurysdykcji, sądy krajowe muszą określić, które prawo jest właściwe. W Unii Europejskiej Rozporządzenie Rzym II co do zasady wyznacza prawo państwa, w którym wystąpiła szkoda</w:t>
      </w:r>
      <w:r>
        <w:rPr>
          <w:bCs/>
          <w:sz w:val="24"/>
          <w:szCs w:val="24"/>
        </w:rPr>
        <w:t>,</w:t>
      </w:r>
      <w:r w:rsidRPr="008D492A">
        <w:t xml:space="preserve"> </w:t>
      </w:r>
      <w:r>
        <w:rPr>
          <w:bCs/>
          <w:sz w:val="24"/>
          <w:szCs w:val="24"/>
        </w:rPr>
        <w:t>jako</w:t>
      </w:r>
      <w:r w:rsidRPr="008D492A">
        <w:rPr>
          <w:bCs/>
          <w:sz w:val="24"/>
          <w:szCs w:val="24"/>
        </w:rPr>
        <w:t xml:space="preserve"> prawo</w:t>
      </w:r>
      <w:r w:rsidRPr="00A42E41">
        <w:rPr>
          <w:bCs/>
          <w:sz w:val="24"/>
          <w:szCs w:val="24"/>
        </w:rPr>
        <w:t xml:space="preserve"> </w:t>
      </w:r>
      <w:r>
        <w:rPr>
          <w:bCs/>
          <w:sz w:val="24"/>
          <w:szCs w:val="24"/>
        </w:rPr>
        <w:t xml:space="preserve">właściwe </w:t>
      </w:r>
      <w:r w:rsidRPr="00A42E41">
        <w:rPr>
          <w:bCs/>
          <w:sz w:val="24"/>
          <w:szCs w:val="24"/>
        </w:rPr>
        <w:t>(</w:t>
      </w:r>
      <w:r w:rsidRPr="008D492A">
        <w:rPr>
          <w:bCs/>
          <w:i/>
          <w:sz w:val="24"/>
          <w:szCs w:val="24"/>
        </w:rPr>
        <w:t xml:space="preserve">lex </w:t>
      </w:r>
      <w:proofErr w:type="spellStart"/>
      <w:r w:rsidRPr="008D492A">
        <w:rPr>
          <w:bCs/>
          <w:i/>
          <w:sz w:val="24"/>
          <w:szCs w:val="24"/>
        </w:rPr>
        <w:t>loci</w:t>
      </w:r>
      <w:proofErr w:type="spellEnd"/>
      <w:r w:rsidRPr="008D492A">
        <w:rPr>
          <w:bCs/>
          <w:i/>
          <w:sz w:val="24"/>
          <w:szCs w:val="24"/>
        </w:rPr>
        <w:t xml:space="preserve"> </w:t>
      </w:r>
      <w:proofErr w:type="spellStart"/>
      <w:r w:rsidRPr="008D492A">
        <w:rPr>
          <w:bCs/>
          <w:i/>
          <w:sz w:val="24"/>
          <w:szCs w:val="24"/>
        </w:rPr>
        <w:t>damni</w:t>
      </w:r>
      <w:proofErr w:type="spellEnd"/>
      <w:r w:rsidRPr="00A42E41">
        <w:rPr>
          <w:bCs/>
          <w:sz w:val="24"/>
          <w:szCs w:val="24"/>
        </w:rPr>
        <w:t>). Rozporządzenie przewiduje jednak pewne wyjątki od tej ogólnej zasady.</w:t>
      </w:r>
    </w:p>
    <w:p w:rsidR="00ED1D8D" w:rsidRPr="00A42E41" w:rsidRDefault="00ED1D8D" w:rsidP="00E7396B">
      <w:pPr>
        <w:pStyle w:val="Akapitzlist"/>
        <w:spacing w:before="120" w:after="120" w:line="240" w:lineRule="auto"/>
        <w:ind w:left="1069"/>
        <w:contextualSpacing w:val="0"/>
        <w:jc w:val="both"/>
        <w:rPr>
          <w:bCs/>
          <w:sz w:val="24"/>
          <w:szCs w:val="24"/>
        </w:rPr>
      </w:pPr>
    </w:p>
    <w:p w:rsidR="00591EC1" w:rsidRPr="00A42E41" w:rsidRDefault="00591EC1" w:rsidP="00E7396B">
      <w:pPr>
        <w:spacing w:before="120" w:after="120" w:line="240" w:lineRule="auto"/>
        <w:ind w:left="567"/>
        <w:jc w:val="both"/>
        <w:rPr>
          <w:bCs/>
          <w:i/>
          <w:sz w:val="24"/>
          <w:szCs w:val="24"/>
        </w:rPr>
      </w:pPr>
      <w:r w:rsidRPr="00A42E41">
        <w:rPr>
          <w:bCs/>
          <w:i/>
          <w:sz w:val="24"/>
          <w:szCs w:val="24"/>
        </w:rPr>
        <w:t xml:space="preserve">Zasada </w:t>
      </w:r>
      <w:r>
        <w:rPr>
          <w:bCs/>
          <w:i/>
          <w:sz w:val="24"/>
          <w:szCs w:val="24"/>
        </w:rPr>
        <w:t>„</w:t>
      </w:r>
      <w:r w:rsidRPr="00A42E41">
        <w:rPr>
          <w:bCs/>
          <w:i/>
          <w:sz w:val="24"/>
          <w:szCs w:val="24"/>
        </w:rPr>
        <w:t>równości broni</w:t>
      </w:r>
      <w:r>
        <w:rPr>
          <w:bCs/>
          <w:i/>
          <w:sz w:val="24"/>
          <w:szCs w:val="24"/>
        </w:rPr>
        <w:t>”</w:t>
      </w:r>
      <w:r w:rsidRPr="00A42E41">
        <w:rPr>
          <w:bCs/>
          <w:i/>
          <w:sz w:val="24"/>
          <w:szCs w:val="24"/>
        </w:rPr>
        <w:t xml:space="preserve"> i pomoc prawna</w:t>
      </w:r>
    </w:p>
    <w:p w:rsidR="00591EC1" w:rsidRPr="00A42E41" w:rsidRDefault="00591EC1" w:rsidP="00E7396B">
      <w:pPr>
        <w:pStyle w:val="Akapitzlist"/>
        <w:numPr>
          <w:ilvl w:val="0"/>
          <w:numId w:val="19"/>
        </w:numPr>
        <w:spacing w:before="120" w:after="120" w:line="240" w:lineRule="auto"/>
        <w:ind w:left="567"/>
        <w:contextualSpacing w:val="0"/>
        <w:jc w:val="both"/>
        <w:rPr>
          <w:bCs/>
          <w:sz w:val="24"/>
          <w:szCs w:val="24"/>
        </w:rPr>
      </w:pPr>
      <w:r w:rsidRPr="00A42E41">
        <w:rPr>
          <w:bCs/>
          <w:sz w:val="24"/>
          <w:szCs w:val="24"/>
        </w:rPr>
        <w:t xml:space="preserve">Roszczenia cywilne domniemanych ofiar naruszeń praw człowieka z udziałem przedsiębiorstw mogą </w:t>
      </w:r>
      <w:r>
        <w:rPr>
          <w:bCs/>
          <w:sz w:val="24"/>
          <w:szCs w:val="24"/>
        </w:rPr>
        <w:t>nagminnie</w:t>
      </w:r>
      <w:r w:rsidRPr="00A42E41">
        <w:rPr>
          <w:bCs/>
          <w:sz w:val="24"/>
          <w:szCs w:val="24"/>
        </w:rPr>
        <w:t xml:space="preserve"> prowadzić do sytuacji, </w:t>
      </w:r>
      <w:r>
        <w:rPr>
          <w:bCs/>
          <w:sz w:val="24"/>
          <w:szCs w:val="24"/>
        </w:rPr>
        <w:t>w których</w:t>
      </w:r>
      <w:r w:rsidRPr="00A42E41">
        <w:rPr>
          <w:bCs/>
          <w:sz w:val="24"/>
          <w:szCs w:val="24"/>
        </w:rPr>
        <w:t xml:space="preserve"> środki finansowe pozwanego zdecydowanie przewyższają te, którymi dysponuje powód, zwłaszcza gdy pozwane przedsiębiorstwo jest międzynarodowe. Jednocześnie spory w sprawie takich naruszeń mogą być bardzo kosztowne, co może stanowić barierę w dostępie do wymiaru sprawiedliwości</w:t>
      </w:r>
      <w:r>
        <w:rPr>
          <w:bCs/>
          <w:sz w:val="24"/>
          <w:szCs w:val="24"/>
        </w:rPr>
        <w:t>,</w:t>
      </w:r>
      <w:r w:rsidRPr="00A42E41">
        <w:rPr>
          <w:bCs/>
          <w:sz w:val="24"/>
          <w:szCs w:val="24"/>
        </w:rPr>
        <w:t xml:space="preserve"> </w:t>
      </w:r>
      <w:r>
        <w:rPr>
          <w:bCs/>
          <w:sz w:val="24"/>
          <w:szCs w:val="24"/>
        </w:rPr>
        <w:t>prowadząc</w:t>
      </w:r>
      <w:r w:rsidRPr="00A42E41">
        <w:rPr>
          <w:bCs/>
          <w:sz w:val="24"/>
          <w:szCs w:val="24"/>
        </w:rPr>
        <w:t xml:space="preserve"> nieuchronnie do podniesienia kwestii prawa do rzetelnego postępowania </w:t>
      </w:r>
      <w:r>
        <w:rPr>
          <w:bCs/>
          <w:sz w:val="24"/>
          <w:szCs w:val="24"/>
        </w:rPr>
        <w:t>na mocy</w:t>
      </w:r>
      <w:r w:rsidRPr="00A42E41">
        <w:rPr>
          <w:bCs/>
          <w:sz w:val="24"/>
          <w:szCs w:val="24"/>
        </w:rPr>
        <w:t xml:space="preserve"> art. 6 Konwencji o ochronie praw człowieka i podstawowych wolności. Europejski Trybunał Praw Człowieka stwierdził, że państwo nie ma obowiązku zapewnienia pełnej </w:t>
      </w:r>
      <w:r>
        <w:rPr>
          <w:bCs/>
          <w:sz w:val="24"/>
          <w:szCs w:val="24"/>
        </w:rPr>
        <w:t>„</w:t>
      </w:r>
      <w:r w:rsidRPr="00A42E41">
        <w:rPr>
          <w:bCs/>
          <w:sz w:val="24"/>
          <w:szCs w:val="24"/>
        </w:rPr>
        <w:t>równości broni</w:t>
      </w:r>
      <w:r>
        <w:rPr>
          <w:bCs/>
          <w:sz w:val="24"/>
          <w:szCs w:val="24"/>
        </w:rPr>
        <w:t>”</w:t>
      </w:r>
      <w:r w:rsidRPr="00A42E41">
        <w:rPr>
          <w:bCs/>
          <w:sz w:val="24"/>
          <w:szCs w:val="24"/>
        </w:rPr>
        <w:t xml:space="preserve"> </w:t>
      </w:r>
      <w:r>
        <w:rPr>
          <w:bCs/>
          <w:sz w:val="24"/>
          <w:szCs w:val="24"/>
        </w:rPr>
        <w:t xml:space="preserve">pomiędzy stronami postępowania </w:t>
      </w:r>
      <w:r w:rsidRPr="00A42E41">
        <w:rPr>
          <w:bCs/>
          <w:sz w:val="24"/>
          <w:szCs w:val="24"/>
        </w:rPr>
        <w:t xml:space="preserve">poprzez wykorzystanie środków publicznych, o ile każda ze stron ma zapewnioną odpowiednią możliwość przedstawienia swojej sprawy w warunkach, które nie stawiają </w:t>
      </w:r>
      <w:r>
        <w:rPr>
          <w:bCs/>
          <w:sz w:val="24"/>
          <w:szCs w:val="24"/>
        </w:rPr>
        <w:t xml:space="preserve">jej </w:t>
      </w:r>
      <w:r w:rsidRPr="00A42E41">
        <w:rPr>
          <w:bCs/>
          <w:sz w:val="24"/>
          <w:szCs w:val="24"/>
        </w:rPr>
        <w:t>w</w:t>
      </w:r>
      <w:r>
        <w:rPr>
          <w:bCs/>
          <w:sz w:val="24"/>
          <w:szCs w:val="24"/>
        </w:rPr>
        <w:t xml:space="preserve"> zasadniczo</w:t>
      </w:r>
      <w:r w:rsidRPr="00A42E41">
        <w:rPr>
          <w:bCs/>
          <w:sz w:val="24"/>
          <w:szCs w:val="24"/>
        </w:rPr>
        <w:t xml:space="preserve"> niekorzystnej sytuacji wobec przeciwnika.</w:t>
      </w:r>
      <w:r w:rsidRPr="00A42E41">
        <w:rPr>
          <w:rStyle w:val="Odwoanieprzypisukocowego"/>
          <w:bCs/>
          <w:sz w:val="24"/>
          <w:szCs w:val="24"/>
        </w:rPr>
        <w:endnoteReference w:id="27"/>
      </w:r>
      <w:r>
        <w:rPr>
          <w:bCs/>
          <w:sz w:val="24"/>
          <w:szCs w:val="24"/>
        </w:rPr>
        <w:t xml:space="preserve"> </w:t>
      </w:r>
      <w:r w:rsidRPr="00A42E41">
        <w:rPr>
          <w:bCs/>
          <w:sz w:val="24"/>
          <w:szCs w:val="24"/>
        </w:rPr>
        <w:t>Jednakże, podczas gdy prawo dostępu do sądu zgodnie z art. 6 Konwencji nie jest absolutne i może podlegać ograniczeniom, które służą uprawnionemu celowi i nie są nieproporcjonalne, udzielenie pomocy prawnej w niektórych przypadkach może</w:t>
      </w:r>
      <w:r>
        <w:rPr>
          <w:bCs/>
          <w:sz w:val="24"/>
          <w:szCs w:val="24"/>
        </w:rPr>
        <w:t xml:space="preserve"> być konieczne do zapewnienia „równości broni” </w:t>
      </w:r>
      <w:r w:rsidRPr="00A42E41">
        <w:rPr>
          <w:bCs/>
          <w:sz w:val="24"/>
          <w:szCs w:val="24"/>
        </w:rPr>
        <w:t>między stronami. W zw</w:t>
      </w:r>
      <w:r>
        <w:rPr>
          <w:bCs/>
          <w:sz w:val="24"/>
          <w:szCs w:val="24"/>
        </w:rPr>
        <w:t xml:space="preserve">iązku z tym Trybunał uznał za </w:t>
      </w:r>
      <w:r w:rsidRPr="00A42E41">
        <w:rPr>
          <w:bCs/>
          <w:sz w:val="24"/>
          <w:szCs w:val="24"/>
        </w:rPr>
        <w:t xml:space="preserve">dopuszczalne </w:t>
      </w:r>
      <w:r>
        <w:rPr>
          <w:bCs/>
          <w:sz w:val="24"/>
          <w:szCs w:val="24"/>
        </w:rPr>
        <w:t>ustanowienie</w:t>
      </w:r>
      <w:r w:rsidRPr="00A42E41">
        <w:rPr>
          <w:bCs/>
          <w:sz w:val="24"/>
          <w:szCs w:val="24"/>
        </w:rPr>
        <w:t xml:space="preserve"> warunków przyznania pomocy prawnej</w:t>
      </w:r>
      <w:r>
        <w:rPr>
          <w:bCs/>
          <w:sz w:val="24"/>
          <w:szCs w:val="24"/>
        </w:rPr>
        <w:t xml:space="preserve"> m.in.</w:t>
      </w:r>
      <w:r w:rsidRPr="00A42E41">
        <w:rPr>
          <w:bCs/>
          <w:sz w:val="24"/>
          <w:szCs w:val="24"/>
        </w:rPr>
        <w:t xml:space="preserve"> w oparciu o sytuację finansową uczestnika postępowania lub jego szans</w:t>
      </w:r>
      <w:r>
        <w:rPr>
          <w:bCs/>
          <w:sz w:val="24"/>
          <w:szCs w:val="24"/>
        </w:rPr>
        <w:t>e</w:t>
      </w:r>
      <w:r w:rsidRPr="00A42E41">
        <w:rPr>
          <w:bCs/>
          <w:sz w:val="24"/>
          <w:szCs w:val="24"/>
        </w:rPr>
        <w:t xml:space="preserve"> na powodzenie w postępowaniu.</w:t>
      </w:r>
      <w:r w:rsidRPr="00A42E41">
        <w:rPr>
          <w:rStyle w:val="Odwoanieprzypisukocowego"/>
          <w:bCs/>
          <w:sz w:val="24"/>
          <w:szCs w:val="24"/>
        </w:rPr>
        <w:endnoteReference w:id="28"/>
      </w:r>
      <w:r w:rsidRPr="00A42E41">
        <w:rPr>
          <w:bCs/>
          <w:sz w:val="24"/>
          <w:szCs w:val="24"/>
        </w:rPr>
        <w:t xml:space="preserve"> W świetle tych wymagań </w:t>
      </w:r>
      <w:r w:rsidRPr="00442185">
        <w:rPr>
          <w:bCs/>
          <w:sz w:val="24"/>
          <w:szCs w:val="24"/>
          <w:u w:val="single"/>
        </w:rPr>
        <w:t>paragraf 41 Rekomendacji</w:t>
      </w:r>
      <w:r w:rsidRPr="00A42E41">
        <w:rPr>
          <w:bCs/>
          <w:sz w:val="24"/>
          <w:szCs w:val="24"/>
        </w:rPr>
        <w:t xml:space="preserve"> przypomina państwom członkowskim o </w:t>
      </w:r>
      <w:r>
        <w:rPr>
          <w:bCs/>
          <w:sz w:val="24"/>
          <w:szCs w:val="24"/>
        </w:rPr>
        <w:t>spoczywającym na n</w:t>
      </w:r>
      <w:r w:rsidRPr="00A42E41">
        <w:rPr>
          <w:bCs/>
          <w:sz w:val="24"/>
          <w:szCs w:val="24"/>
        </w:rPr>
        <w:t xml:space="preserve">ich </w:t>
      </w:r>
      <w:r>
        <w:rPr>
          <w:bCs/>
          <w:sz w:val="24"/>
          <w:szCs w:val="24"/>
        </w:rPr>
        <w:t>na mocy</w:t>
      </w:r>
      <w:r w:rsidRPr="00A42E41">
        <w:rPr>
          <w:bCs/>
          <w:sz w:val="24"/>
          <w:szCs w:val="24"/>
        </w:rPr>
        <w:t xml:space="preserve"> art. 6 Konwencji</w:t>
      </w:r>
      <w:r>
        <w:rPr>
          <w:bCs/>
          <w:sz w:val="24"/>
          <w:szCs w:val="24"/>
        </w:rPr>
        <w:t xml:space="preserve"> obowiązku</w:t>
      </w:r>
      <w:r w:rsidRPr="00A42E41">
        <w:rPr>
          <w:bCs/>
          <w:sz w:val="24"/>
          <w:szCs w:val="24"/>
        </w:rPr>
        <w:t xml:space="preserve"> unik</w:t>
      </w:r>
      <w:r>
        <w:rPr>
          <w:bCs/>
          <w:sz w:val="24"/>
          <w:szCs w:val="24"/>
        </w:rPr>
        <w:t>ania</w:t>
      </w:r>
      <w:r w:rsidRPr="00A42E41">
        <w:rPr>
          <w:bCs/>
          <w:sz w:val="24"/>
          <w:szCs w:val="24"/>
        </w:rPr>
        <w:t xml:space="preserve"> roszczeń dotyczących domniemanych naruszeń praw człowieka z udziałem przedsiębiorstw, w których odmowa pomocy prawnej pozbawia domniemane ofiary możliwości skutecznego przedstawienia swojej sprawy przed sądami krajowymi, przyczyniając się do niedopuszczalnej </w:t>
      </w:r>
      <w:r>
        <w:rPr>
          <w:bCs/>
          <w:sz w:val="24"/>
          <w:szCs w:val="24"/>
        </w:rPr>
        <w:t>„</w:t>
      </w:r>
      <w:r w:rsidRPr="00A42E41">
        <w:rPr>
          <w:bCs/>
          <w:sz w:val="24"/>
          <w:szCs w:val="24"/>
        </w:rPr>
        <w:t>nierówności broni</w:t>
      </w:r>
      <w:r>
        <w:rPr>
          <w:bCs/>
          <w:sz w:val="24"/>
          <w:szCs w:val="24"/>
        </w:rPr>
        <w:t>”</w:t>
      </w:r>
      <w:r w:rsidRPr="00A42E41">
        <w:rPr>
          <w:bCs/>
          <w:sz w:val="24"/>
          <w:szCs w:val="24"/>
        </w:rPr>
        <w:t xml:space="preserve"> na mocy tego przepisu.</w:t>
      </w:r>
    </w:p>
    <w:p w:rsidR="00591EC1" w:rsidRPr="00A42E41" w:rsidRDefault="00591EC1" w:rsidP="00E7396B">
      <w:pPr>
        <w:pStyle w:val="Akapitzlist"/>
        <w:spacing w:before="120" w:after="120" w:line="240" w:lineRule="auto"/>
        <w:ind w:left="1069"/>
        <w:contextualSpacing w:val="0"/>
        <w:jc w:val="both"/>
        <w:rPr>
          <w:bCs/>
          <w:sz w:val="24"/>
          <w:szCs w:val="24"/>
        </w:rPr>
      </w:pPr>
    </w:p>
    <w:p w:rsidR="00591EC1" w:rsidRPr="00A42E41" w:rsidRDefault="00591EC1" w:rsidP="00E7396B">
      <w:pPr>
        <w:spacing w:before="120" w:after="120" w:line="240" w:lineRule="auto"/>
        <w:ind w:left="567"/>
        <w:jc w:val="both"/>
        <w:rPr>
          <w:bCs/>
          <w:i/>
          <w:sz w:val="24"/>
          <w:szCs w:val="24"/>
        </w:rPr>
      </w:pPr>
      <w:r w:rsidRPr="00A42E41">
        <w:rPr>
          <w:bCs/>
          <w:i/>
          <w:sz w:val="24"/>
          <w:szCs w:val="24"/>
        </w:rPr>
        <w:t>Dostęp do informacji</w:t>
      </w:r>
    </w:p>
    <w:p w:rsidR="00591EC1" w:rsidRPr="00A42E41" w:rsidRDefault="00591EC1" w:rsidP="00E7396B">
      <w:pPr>
        <w:pStyle w:val="Akapitzlist"/>
        <w:numPr>
          <w:ilvl w:val="0"/>
          <w:numId w:val="19"/>
        </w:numPr>
        <w:spacing w:before="120" w:after="120" w:line="240" w:lineRule="auto"/>
        <w:ind w:left="567"/>
        <w:contextualSpacing w:val="0"/>
        <w:jc w:val="both"/>
        <w:rPr>
          <w:bCs/>
          <w:sz w:val="24"/>
          <w:szCs w:val="24"/>
        </w:rPr>
      </w:pPr>
      <w:r w:rsidRPr="00F2653A">
        <w:rPr>
          <w:bCs/>
          <w:sz w:val="24"/>
          <w:szCs w:val="24"/>
          <w:u w:val="single"/>
        </w:rPr>
        <w:t>Paragraf 43 Rekomendacji</w:t>
      </w:r>
      <w:r w:rsidRPr="00A42E41">
        <w:rPr>
          <w:bCs/>
          <w:sz w:val="24"/>
          <w:szCs w:val="24"/>
        </w:rPr>
        <w:t xml:space="preserve"> sugeruje, </w:t>
      </w:r>
      <w:r>
        <w:rPr>
          <w:bCs/>
          <w:sz w:val="24"/>
          <w:szCs w:val="24"/>
        </w:rPr>
        <w:t>aby</w:t>
      </w:r>
      <w:r w:rsidRPr="00A42E41">
        <w:rPr>
          <w:bCs/>
          <w:sz w:val="24"/>
          <w:szCs w:val="24"/>
        </w:rPr>
        <w:t xml:space="preserve"> państwa członko</w:t>
      </w:r>
      <w:r>
        <w:rPr>
          <w:bCs/>
          <w:sz w:val="24"/>
          <w:szCs w:val="24"/>
        </w:rPr>
        <w:t>wskie rozważyły przegląd</w:t>
      </w:r>
      <w:r w:rsidRPr="00A42E41">
        <w:rPr>
          <w:bCs/>
          <w:sz w:val="24"/>
          <w:szCs w:val="24"/>
        </w:rPr>
        <w:t xml:space="preserve"> swojej procedury cywilnej, w przypadku gdy obowiązujące przepisy utrudniają dostęp </w:t>
      </w:r>
      <w:r w:rsidRPr="00A42E41">
        <w:rPr>
          <w:bCs/>
          <w:sz w:val="24"/>
          <w:szCs w:val="24"/>
        </w:rPr>
        <w:lastRenderedPageBreak/>
        <w:t>do informacji będących w posiadaniu pozwanego lub osoby trzeciej, jeżeli takie informacje są istotne dla domniemanych ofiar naruszenia praw człow</w:t>
      </w:r>
      <w:r>
        <w:rPr>
          <w:bCs/>
          <w:sz w:val="24"/>
          <w:szCs w:val="24"/>
        </w:rPr>
        <w:t>ieka z udziałem przedsiębiorstw. O ile należy zauważyć, że „</w:t>
      </w:r>
      <w:r w:rsidRPr="00A42E41">
        <w:rPr>
          <w:bCs/>
          <w:sz w:val="24"/>
          <w:szCs w:val="24"/>
        </w:rPr>
        <w:t>barier</w:t>
      </w:r>
      <w:r>
        <w:rPr>
          <w:bCs/>
          <w:sz w:val="24"/>
          <w:szCs w:val="24"/>
        </w:rPr>
        <w:t>y w dostępie do sprawiedliwości”</w:t>
      </w:r>
      <w:r w:rsidRPr="00A42E41">
        <w:rPr>
          <w:bCs/>
          <w:sz w:val="24"/>
          <w:szCs w:val="24"/>
        </w:rPr>
        <w:t xml:space="preserve"> nie mogą być utożsami</w:t>
      </w:r>
      <w:r>
        <w:rPr>
          <w:bCs/>
          <w:sz w:val="24"/>
          <w:szCs w:val="24"/>
        </w:rPr>
        <w:t>o</w:t>
      </w:r>
      <w:r w:rsidRPr="00A42E41">
        <w:rPr>
          <w:bCs/>
          <w:sz w:val="24"/>
          <w:szCs w:val="24"/>
        </w:rPr>
        <w:t xml:space="preserve">ne z </w:t>
      </w:r>
      <w:r>
        <w:rPr>
          <w:bCs/>
          <w:sz w:val="24"/>
          <w:szCs w:val="24"/>
        </w:rPr>
        <w:t>„</w:t>
      </w:r>
      <w:r w:rsidRPr="00A42E41">
        <w:rPr>
          <w:bCs/>
          <w:sz w:val="24"/>
          <w:szCs w:val="24"/>
        </w:rPr>
        <w:t>bari</w:t>
      </w:r>
      <w:r>
        <w:rPr>
          <w:bCs/>
          <w:sz w:val="24"/>
          <w:szCs w:val="24"/>
        </w:rPr>
        <w:t>erami w wygraniu sprawy sądowej”</w:t>
      </w:r>
      <w:r w:rsidRPr="00A42E41">
        <w:rPr>
          <w:bCs/>
          <w:sz w:val="24"/>
          <w:szCs w:val="24"/>
        </w:rPr>
        <w:t xml:space="preserve"> poprzez usunięcie ciężaru dowodu spoczywając</w:t>
      </w:r>
      <w:r>
        <w:rPr>
          <w:bCs/>
          <w:sz w:val="24"/>
          <w:szCs w:val="24"/>
        </w:rPr>
        <w:t>ego</w:t>
      </w:r>
      <w:r w:rsidRPr="00A42E41">
        <w:rPr>
          <w:bCs/>
          <w:sz w:val="24"/>
          <w:szCs w:val="24"/>
        </w:rPr>
        <w:t xml:space="preserve"> na powodzie, państwa członkowskie przyjęły w swoich systemach prawnych, że mogą zaistnieć </w:t>
      </w:r>
      <w:r w:rsidRPr="00A41192">
        <w:rPr>
          <w:bCs/>
          <w:sz w:val="24"/>
          <w:szCs w:val="24"/>
        </w:rPr>
        <w:t xml:space="preserve">sytuacje, w których nie można zasadnie oczekiwać od powoda, aby dostarczył niektóre dowody, jeżeli znajdują się one w wyłącznej dyspozycji pozwanego. Jednym z przykładów jest odpowiedzialność za produkt, w </w:t>
      </w:r>
      <w:r>
        <w:rPr>
          <w:bCs/>
          <w:sz w:val="24"/>
          <w:szCs w:val="24"/>
        </w:rPr>
        <w:t>przypadku której</w:t>
      </w:r>
      <w:r w:rsidRPr="00A41192">
        <w:rPr>
          <w:bCs/>
          <w:sz w:val="24"/>
          <w:szCs w:val="24"/>
        </w:rPr>
        <w:t xml:space="preserve"> ciężar dowodu może,</w:t>
      </w:r>
      <w:r w:rsidRPr="00A41192">
        <w:rPr>
          <w:sz w:val="24"/>
          <w:szCs w:val="24"/>
        </w:rPr>
        <w:t xml:space="preserve"> </w:t>
      </w:r>
      <w:r w:rsidRPr="00A41192">
        <w:rPr>
          <w:bCs/>
          <w:sz w:val="24"/>
          <w:szCs w:val="24"/>
        </w:rPr>
        <w:t>pod pewnymi warunkami,</w:t>
      </w:r>
      <w:r>
        <w:rPr>
          <w:bCs/>
          <w:sz w:val="24"/>
          <w:szCs w:val="24"/>
        </w:rPr>
        <w:t xml:space="preserve"> </w:t>
      </w:r>
      <w:r w:rsidRPr="00A41192">
        <w:rPr>
          <w:bCs/>
          <w:sz w:val="24"/>
          <w:szCs w:val="24"/>
        </w:rPr>
        <w:t>przesunąć się w niektórych kwestiach w kierunku pozwanego producenta. Choć każde państwo członkowskie samo ustala zasady</w:t>
      </w:r>
      <w:r>
        <w:rPr>
          <w:bCs/>
          <w:sz w:val="24"/>
          <w:szCs w:val="24"/>
        </w:rPr>
        <w:t>,</w:t>
      </w:r>
      <w:r w:rsidRPr="00A41192">
        <w:rPr>
          <w:bCs/>
          <w:sz w:val="24"/>
          <w:szCs w:val="24"/>
        </w:rPr>
        <w:t xml:space="preserve"> na jakich sądy krajowe ocenią przedstawione im dowody, </w:t>
      </w:r>
      <w:r>
        <w:rPr>
          <w:bCs/>
          <w:sz w:val="24"/>
          <w:szCs w:val="24"/>
        </w:rPr>
        <w:t>konieczna jest</w:t>
      </w:r>
      <w:r w:rsidRPr="00A41192">
        <w:rPr>
          <w:bCs/>
          <w:sz w:val="24"/>
          <w:szCs w:val="24"/>
        </w:rPr>
        <w:t xml:space="preserve"> także</w:t>
      </w:r>
      <w:r>
        <w:rPr>
          <w:bCs/>
          <w:sz w:val="24"/>
          <w:szCs w:val="24"/>
        </w:rPr>
        <w:t xml:space="preserve"> refleksja na temat</w:t>
      </w:r>
      <w:r w:rsidRPr="00A41192">
        <w:rPr>
          <w:bCs/>
          <w:sz w:val="24"/>
          <w:szCs w:val="24"/>
        </w:rPr>
        <w:t xml:space="preserve"> reguł postępowania dowodowego przy uwzględnieniu faktu, że podczas ważenia konkurencyjnych interesów należy wziąć pod uwagę poufność wymaganych informacji.</w:t>
      </w:r>
      <w:r w:rsidRPr="00A42E41">
        <w:rPr>
          <w:sz w:val="24"/>
          <w:szCs w:val="24"/>
        </w:rPr>
        <w:t xml:space="preserve"> </w:t>
      </w:r>
    </w:p>
    <w:p w:rsidR="00591EC1" w:rsidRPr="00A42E41" w:rsidRDefault="00591EC1" w:rsidP="00E7396B">
      <w:pPr>
        <w:spacing w:before="120" w:after="120" w:line="240" w:lineRule="auto"/>
        <w:ind w:left="709"/>
        <w:jc w:val="both"/>
        <w:rPr>
          <w:bCs/>
          <w:sz w:val="24"/>
          <w:szCs w:val="24"/>
        </w:rPr>
      </w:pPr>
    </w:p>
    <w:p w:rsidR="00591EC1" w:rsidRPr="00A42E41" w:rsidRDefault="00591EC1" w:rsidP="00E7396B">
      <w:pPr>
        <w:pStyle w:val="Akapitzlist"/>
        <w:spacing w:before="120" w:after="120" w:line="240" w:lineRule="auto"/>
        <w:ind w:left="709"/>
        <w:contextualSpacing w:val="0"/>
        <w:jc w:val="both"/>
        <w:rPr>
          <w:b/>
          <w:bCs/>
          <w:i/>
          <w:sz w:val="24"/>
          <w:szCs w:val="24"/>
        </w:rPr>
      </w:pPr>
      <w:r w:rsidRPr="00A42E41">
        <w:rPr>
          <w:b/>
          <w:i/>
          <w:sz w:val="24"/>
          <w:szCs w:val="24"/>
        </w:rPr>
        <w:t xml:space="preserve">ii. Odpowiedzialność karna lub </w:t>
      </w:r>
      <w:r>
        <w:rPr>
          <w:b/>
          <w:i/>
          <w:sz w:val="24"/>
          <w:szCs w:val="24"/>
        </w:rPr>
        <w:t>równoważna</w:t>
      </w:r>
      <w:r w:rsidRPr="00A42E41">
        <w:rPr>
          <w:b/>
          <w:i/>
          <w:sz w:val="24"/>
          <w:szCs w:val="24"/>
        </w:rPr>
        <w:t xml:space="preserve"> za naruszenia praw człowieka związane z działalnością biznesu</w:t>
      </w:r>
    </w:p>
    <w:p w:rsidR="00591EC1" w:rsidRPr="00A42E41" w:rsidRDefault="00591EC1" w:rsidP="00E7396B">
      <w:pPr>
        <w:spacing w:before="120" w:after="120" w:line="240" w:lineRule="auto"/>
        <w:ind w:left="567"/>
        <w:jc w:val="both"/>
        <w:rPr>
          <w:bCs/>
          <w:i/>
          <w:sz w:val="24"/>
          <w:szCs w:val="24"/>
        </w:rPr>
      </w:pPr>
      <w:r w:rsidRPr="00A42E41">
        <w:rPr>
          <w:bCs/>
          <w:i/>
          <w:sz w:val="24"/>
          <w:szCs w:val="24"/>
        </w:rPr>
        <w:t>Odpowiedzialność karna przedsiębiorstw</w:t>
      </w:r>
    </w:p>
    <w:p w:rsidR="00591EC1" w:rsidRPr="00A42E41" w:rsidRDefault="00591EC1" w:rsidP="00E7396B">
      <w:pPr>
        <w:pStyle w:val="Akapitzlist"/>
        <w:numPr>
          <w:ilvl w:val="0"/>
          <w:numId w:val="19"/>
        </w:numPr>
        <w:spacing w:before="120" w:after="120" w:line="240" w:lineRule="auto"/>
        <w:ind w:left="567"/>
        <w:contextualSpacing w:val="0"/>
        <w:jc w:val="both"/>
        <w:rPr>
          <w:bCs/>
          <w:sz w:val="24"/>
          <w:szCs w:val="24"/>
        </w:rPr>
      </w:pPr>
      <w:r w:rsidRPr="00A42E41">
        <w:rPr>
          <w:bCs/>
          <w:sz w:val="24"/>
          <w:szCs w:val="24"/>
        </w:rPr>
        <w:t>W państwach członkowskich Rady Europy odpowiedzialność karna</w:t>
      </w:r>
      <w:r>
        <w:rPr>
          <w:bCs/>
          <w:sz w:val="24"/>
          <w:szCs w:val="24"/>
        </w:rPr>
        <w:t xml:space="preserve"> przedsiębiorstw</w:t>
      </w:r>
      <w:r w:rsidRPr="00A42E41">
        <w:rPr>
          <w:bCs/>
          <w:sz w:val="24"/>
          <w:szCs w:val="24"/>
        </w:rPr>
        <w:t xml:space="preserve"> nie jest stosowana w sposób jednolity. Kary przewidziane dla osób prawnych mogą przybierać różne formy, od sankcji karnych po środki karne na podstawie prawa administracyjnego lub cywilnego.</w:t>
      </w:r>
      <w:r w:rsidRPr="00A42E41">
        <w:rPr>
          <w:rStyle w:val="Odwoanieprzypisukocowego"/>
          <w:bCs/>
          <w:sz w:val="24"/>
          <w:szCs w:val="24"/>
        </w:rPr>
        <w:endnoteReference w:id="29"/>
      </w:r>
      <w:r w:rsidRPr="00A42E41">
        <w:rPr>
          <w:bCs/>
          <w:sz w:val="24"/>
          <w:szCs w:val="24"/>
        </w:rPr>
        <w:t xml:space="preserve"> Rekomendacja odzwierciedla podejście przyjęte w różnych traktatach Rady Europy, które przewidują odpowiedzialność przedsiębiorstw w związku z kryminalizacją niektórych czynów. Na przykład art. 22 Konwencji przeciwko handlowi l</w:t>
      </w:r>
      <w:r>
        <w:rPr>
          <w:bCs/>
          <w:sz w:val="24"/>
          <w:szCs w:val="24"/>
        </w:rPr>
        <w:t>udźmi stanowi, że państwa „</w:t>
      </w:r>
      <w:r w:rsidRPr="00A42E41">
        <w:rPr>
          <w:bCs/>
          <w:sz w:val="24"/>
          <w:szCs w:val="24"/>
        </w:rPr>
        <w:t>podejmą takie działania ustawodawcze lub inne, jakie mogą okazać się konieczne dla zapewnienia, że osoba prawna może zostać pociągnięta do odpowiedzialności za czyn uznany za przestępstwo zgodnie z niniejszą K</w:t>
      </w:r>
      <w:r>
        <w:rPr>
          <w:bCs/>
          <w:sz w:val="24"/>
          <w:szCs w:val="24"/>
        </w:rPr>
        <w:t>onwencją”</w:t>
      </w:r>
      <w:r w:rsidRPr="00A42E41">
        <w:rPr>
          <w:bCs/>
          <w:sz w:val="24"/>
          <w:szCs w:val="24"/>
        </w:rPr>
        <w:t xml:space="preserve">. Paragraf 250 Raportu </w:t>
      </w:r>
      <w:r>
        <w:rPr>
          <w:bCs/>
          <w:sz w:val="24"/>
          <w:szCs w:val="24"/>
        </w:rPr>
        <w:t>w</w:t>
      </w:r>
      <w:r w:rsidRPr="00A42E41">
        <w:rPr>
          <w:bCs/>
          <w:sz w:val="24"/>
          <w:szCs w:val="24"/>
        </w:rPr>
        <w:t xml:space="preserve">yjaśniającego do Konwencji </w:t>
      </w:r>
      <w:r>
        <w:rPr>
          <w:bCs/>
          <w:sz w:val="24"/>
          <w:szCs w:val="24"/>
        </w:rPr>
        <w:t>uściśla</w:t>
      </w:r>
      <w:r w:rsidRPr="00A42E41">
        <w:rPr>
          <w:bCs/>
          <w:sz w:val="24"/>
          <w:szCs w:val="24"/>
        </w:rPr>
        <w:t>, że:</w:t>
      </w:r>
    </w:p>
    <w:p w:rsidR="00591EC1" w:rsidRPr="00A42E41" w:rsidRDefault="00591EC1" w:rsidP="00E7396B">
      <w:pPr>
        <w:pStyle w:val="Akapitzlist"/>
        <w:spacing w:before="120" w:after="120" w:line="240" w:lineRule="auto"/>
        <w:ind w:left="1069"/>
        <w:contextualSpacing w:val="0"/>
        <w:jc w:val="both"/>
        <w:rPr>
          <w:bCs/>
          <w:sz w:val="24"/>
          <w:szCs w:val="24"/>
        </w:rPr>
      </w:pPr>
      <w:r w:rsidRPr="00A41192">
        <w:rPr>
          <w:bCs/>
          <w:sz w:val="24"/>
          <w:szCs w:val="24"/>
        </w:rPr>
        <w:t>„Odpowiedzialność na podstawie niniejszego artykułu może mieć charakter karny, cywilny lub administracyjny. Każde państwo członkowskie może zapewnić jedną lub wszystkie formy odpowiedzialności zgodnie z</w:t>
      </w:r>
      <w:r>
        <w:rPr>
          <w:bCs/>
          <w:sz w:val="24"/>
          <w:szCs w:val="24"/>
        </w:rPr>
        <w:t>e</w:t>
      </w:r>
      <w:r w:rsidRPr="00A41192">
        <w:rPr>
          <w:bCs/>
          <w:sz w:val="24"/>
          <w:szCs w:val="24"/>
        </w:rPr>
        <w:t xml:space="preserve"> </w:t>
      </w:r>
      <w:r>
        <w:rPr>
          <w:bCs/>
          <w:sz w:val="24"/>
          <w:szCs w:val="24"/>
        </w:rPr>
        <w:t>swoimi</w:t>
      </w:r>
      <w:r w:rsidRPr="00A41192">
        <w:rPr>
          <w:bCs/>
          <w:sz w:val="24"/>
          <w:szCs w:val="24"/>
        </w:rPr>
        <w:t xml:space="preserve"> zasadami prawnymi</w:t>
      </w:r>
      <w:r>
        <w:rPr>
          <w:bCs/>
          <w:sz w:val="24"/>
          <w:szCs w:val="24"/>
        </w:rPr>
        <w:t>,</w:t>
      </w:r>
      <w:r w:rsidRPr="00A41192">
        <w:rPr>
          <w:bCs/>
          <w:sz w:val="24"/>
          <w:szCs w:val="24"/>
        </w:rPr>
        <w:t xml:space="preserve"> dopóki wymogi wynikające z art. 23 ust.</w:t>
      </w:r>
      <w:r>
        <w:rPr>
          <w:bCs/>
          <w:sz w:val="24"/>
          <w:szCs w:val="24"/>
        </w:rPr>
        <w:t xml:space="preserve"> </w:t>
      </w:r>
      <w:r w:rsidRPr="00A41192">
        <w:rPr>
          <w:bCs/>
          <w:sz w:val="24"/>
          <w:szCs w:val="24"/>
        </w:rPr>
        <w:t>2 są spełnione, mianowicie że sankcja zastosowana w oparciu o dany środek prawny</w:t>
      </w:r>
      <w:r>
        <w:rPr>
          <w:bCs/>
          <w:sz w:val="24"/>
          <w:szCs w:val="24"/>
        </w:rPr>
        <w:t xml:space="preserve"> jest</w:t>
      </w:r>
      <w:r w:rsidRPr="00A41192">
        <w:rPr>
          <w:bCs/>
          <w:sz w:val="24"/>
          <w:szCs w:val="24"/>
        </w:rPr>
        <w:t xml:space="preserve"> </w:t>
      </w:r>
      <w:r>
        <w:rPr>
          <w:bCs/>
          <w:sz w:val="24"/>
          <w:szCs w:val="24"/>
        </w:rPr>
        <w:t>‘</w:t>
      </w:r>
      <w:r w:rsidRPr="00A41192">
        <w:rPr>
          <w:bCs/>
          <w:sz w:val="24"/>
          <w:szCs w:val="24"/>
        </w:rPr>
        <w:t>skuteczna, proporcjonalna i odstraszająca</w:t>
      </w:r>
      <w:r>
        <w:rPr>
          <w:bCs/>
          <w:sz w:val="24"/>
          <w:szCs w:val="24"/>
        </w:rPr>
        <w:t>’</w:t>
      </w:r>
      <w:r w:rsidRPr="00A41192">
        <w:rPr>
          <w:bCs/>
          <w:sz w:val="24"/>
          <w:szCs w:val="24"/>
        </w:rPr>
        <w:t xml:space="preserve"> i obejmuje sankcje pieniężne."</w:t>
      </w:r>
    </w:p>
    <w:p w:rsidR="00591EC1" w:rsidRPr="00A42E41" w:rsidRDefault="00591EC1" w:rsidP="00E7396B">
      <w:pPr>
        <w:pStyle w:val="Akapitzlist"/>
        <w:numPr>
          <w:ilvl w:val="0"/>
          <w:numId w:val="19"/>
        </w:numPr>
        <w:spacing w:before="120" w:after="120" w:line="240" w:lineRule="auto"/>
        <w:ind w:left="567"/>
        <w:contextualSpacing w:val="0"/>
        <w:jc w:val="both"/>
        <w:rPr>
          <w:bCs/>
          <w:sz w:val="24"/>
          <w:szCs w:val="24"/>
        </w:rPr>
      </w:pPr>
      <w:r w:rsidRPr="00A42E41">
        <w:rPr>
          <w:bCs/>
          <w:sz w:val="24"/>
          <w:szCs w:val="24"/>
        </w:rPr>
        <w:t xml:space="preserve">W ten sam sposób </w:t>
      </w:r>
      <w:r w:rsidRPr="00A41192">
        <w:rPr>
          <w:bCs/>
          <w:sz w:val="24"/>
          <w:szCs w:val="24"/>
          <w:u w:val="single"/>
        </w:rPr>
        <w:t>paragraf 44 Rekomendacji</w:t>
      </w:r>
      <w:r w:rsidRPr="00A42E41">
        <w:rPr>
          <w:bCs/>
          <w:sz w:val="24"/>
          <w:szCs w:val="24"/>
        </w:rPr>
        <w:t xml:space="preserve"> nie proponuje państwom członkowskim określonego środka legislacyjnego w celu zapewnienia od</w:t>
      </w:r>
      <w:r>
        <w:rPr>
          <w:bCs/>
          <w:sz w:val="24"/>
          <w:szCs w:val="24"/>
        </w:rPr>
        <w:t>powiedzialności przedsiębiorstw</w:t>
      </w:r>
      <w:r w:rsidRPr="00A42E41">
        <w:rPr>
          <w:bCs/>
          <w:sz w:val="24"/>
          <w:szCs w:val="24"/>
        </w:rPr>
        <w:t xml:space="preserve"> za przestępstwa wymienione w tym paragrafie. </w:t>
      </w:r>
      <w:r>
        <w:rPr>
          <w:bCs/>
          <w:sz w:val="24"/>
          <w:szCs w:val="24"/>
        </w:rPr>
        <w:t>Uznaniowość</w:t>
      </w:r>
      <w:r w:rsidRPr="00A42E41">
        <w:rPr>
          <w:bCs/>
          <w:sz w:val="24"/>
          <w:szCs w:val="24"/>
        </w:rPr>
        <w:t xml:space="preserve"> ta nie obejmuje jednak ogólnych zobowiązań państw wynikających z prawa międzynarodowego do zapewnienia indywidualnej odpowiedzialności karnej za niektóre przestępstwa</w:t>
      </w:r>
      <w:r w:rsidRPr="00D02437">
        <w:rPr>
          <w:bCs/>
          <w:sz w:val="24"/>
          <w:szCs w:val="24"/>
        </w:rPr>
        <w:t xml:space="preserve"> </w:t>
      </w:r>
      <w:r w:rsidRPr="00A42E41">
        <w:rPr>
          <w:bCs/>
          <w:sz w:val="24"/>
          <w:szCs w:val="24"/>
        </w:rPr>
        <w:t xml:space="preserve">międzynarodowe. W związku z tym państwa członkowskie powinny również rozważyć zmianę </w:t>
      </w:r>
      <w:r>
        <w:rPr>
          <w:bCs/>
          <w:sz w:val="24"/>
          <w:szCs w:val="24"/>
        </w:rPr>
        <w:t>swojego</w:t>
      </w:r>
      <w:r w:rsidRPr="00A42E41">
        <w:rPr>
          <w:bCs/>
          <w:sz w:val="24"/>
          <w:szCs w:val="24"/>
        </w:rPr>
        <w:t xml:space="preserve"> prawa karnego i innych ustaw, a także praktyki egzekwowania prawa w celu zapewnienia, że przedsiębiorstwa mogą być pociągnięte do odpowiedzialności za popełnienie poważnych przestępstw dotyczących praw człowieka na mocy krajowego prawa karnego lub innego</w:t>
      </w:r>
      <w:r>
        <w:rPr>
          <w:bCs/>
          <w:sz w:val="24"/>
          <w:szCs w:val="24"/>
        </w:rPr>
        <w:t xml:space="preserve"> prawa</w:t>
      </w:r>
      <w:r w:rsidRPr="00A42E41">
        <w:rPr>
          <w:bCs/>
          <w:sz w:val="24"/>
          <w:szCs w:val="24"/>
        </w:rPr>
        <w:t xml:space="preserve"> równoważnego.</w:t>
      </w:r>
    </w:p>
    <w:p w:rsidR="00591EC1" w:rsidRPr="00A42E41" w:rsidRDefault="00591EC1" w:rsidP="00E7396B">
      <w:pPr>
        <w:pStyle w:val="Akapitzlist"/>
        <w:numPr>
          <w:ilvl w:val="0"/>
          <w:numId w:val="19"/>
        </w:numPr>
        <w:spacing w:before="120" w:after="120" w:line="240" w:lineRule="auto"/>
        <w:ind w:left="567"/>
        <w:contextualSpacing w:val="0"/>
        <w:jc w:val="both"/>
        <w:rPr>
          <w:bCs/>
          <w:sz w:val="24"/>
          <w:szCs w:val="24"/>
        </w:rPr>
      </w:pPr>
      <w:r w:rsidRPr="009D7619">
        <w:rPr>
          <w:bCs/>
          <w:sz w:val="24"/>
          <w:szCs w:val="24"/>
          <w:u w:val="single"/>
        </w:rPr>
        <w:lastRenderedPageBreak/>
        <w:t>Paragraf 44 Rekomendacji</w:t>
      </w:r>
      <w:r w:rsidRPr="00A42E41">
        <w:rPr>
          <w:bCs/>
          <w:sz w:val="24"/>
          <w:szCs w:val="24"/>
        </w:rPr>
        <w:t xml:space="preserve"> wymienia trzy grupy przestępstw, dla których państwa członkowskie powinny rozważyć</w:t>
      </w:r>
      <w:r>
        <w:rPr>
          <w:bCs/>
          <w:sz w:val="24"/>
          <w:szCs w:val="24"/>
        </w:rPr>
        <w:t xml:space="preserve"> ustanowienie odpowiedzialności </w:t>
      </w:r>
      <w:r w:rsidRPr="00A42E41">
        <w:rPr>
          <w:bCs/>
          <w:sz w:val="24"/>
          <w:szCs w:val="24"/>
        </w:rPr>
        <w:t>przedsiębiorstw: przestępstwa w świetle prawa międzynarodowego, przestępstw</w:t>
      </w:r>
      <w:r>
        <w:rPr>
          <w:bCs/>
          <w:sz w:val="24"/>
          <w:szCs w:val="24"/>
        </w:rPr>
        <w:t>a</w:t>
      </w:r>
      <w:r w:rsidRPr="00A42E41">
        <w:rPr>
          <w:bCs/>
          <w:sz w:val="24"/>
          <w:szCs w:val="24"/>
        </w:rPr>
        <w:t xml:space="preserve"> wynikając</w:t>
      </w:r>
      <w:r>
        <w:rPr>
          <w:bCs/>
          <w:sz w:val="24"/>
          <w:szCs w:val="24"/>
        </w:rPr>
        <w:t>e</w:t>
      </w:r>
      <w:r w:rsidRPr="00A42E41">
        <w:rPr>
          <w:bCs/>
          <w:sz w:val="24"/>
          <w:szCs w:val="24"/>
        </w:rPr>
        <w:t xml:space="preserve"> z traktatów</w:t>
      </w:r>
      <w:r>
        <w:rPr>
          <w:bCs/>
          <w:sz w:val="24"/>
          <w:szCs w:val="24"/>
        </w:rPr>
        <w:t xml:space="preserve"> oraz</w:t>
      </w:r>
      <w:r w:rsidRPr="00A42E41">
        <w:rPr>
          <w:bCs/>
          <w:sz w:val="24"/>
          <w:szCs w:val="24"/>
        </w:rPr>
        <w:t xml:space="preserve"> inn</w:t>
      </w:r>
      <w:r>
        <w:rPr>
          <w:bCs/>
          <w:sz w:val="24"/>
          <w:szCs w:val="24"/>
        </w:rPr>
        <w:t>e</w:t>
      </w:r>
      <w:r w:rsidRPr="00A42E41">
        <w:rPr>
          <w:bCs/>
          <w:sz w:val="24"/>
          <w:szCs w:val="24"/>
        </w:rPr>
        <w:t xml:space="preserve"> poważn</w:t>
      </w:r>
      <w:r>
        <w:rPr>
          <w:bCs/>
          <w:sz w:val="24"/>
          <w:szCs w:val="24"/>
        </w:rPr>
        <w:t>e</w:t>
      </w:r>
      <w:r w:rsidRPr="00A42E41">
        <w:rPr>
          <w:bCs/>
          <w:sz w:val="24"/>
          <w:szCs w:val="24"/>
        </w:rPr>
        <w:t xml:space="preserve"> przestępstw</w:t>
      </w:r>
      <w:r>
        <w:rPr>
          <w:bCs/>
          <w:sz w:val="24"/>
          <w:szCs w:val="24"/>
        </w:rPr>
        <w:t>a</w:t>
      </w:r>
      <w:r w:rsidRPr="00A42E41">
        <w:rPr>
          <w:bCs/>
          <w:sz w:val="24"/>
          <w:szCs w:val="24"/>
        </w:rPr>
        <w:t xml:space="preserve"> w zakresie praw człowieka z udziałem przedsiębiorstw.</w:t>
      </w:r>
    </w:p>
    <w:p w:rsidR="00591EC1" w:rsidRPr="000F5898" w:rsidRDefault="00591EC1" w:rsidP="00E7396B">
      <w:pPr>
        <w:spacing w:before="120" w:after="120" w:line="240" w:lineRule="auto"/>
        <w:ind w:left="567"/>
        <w:jc w:val="both"/>
        <w:rPr>
          <w:bCs/>
          <w:i/>
          <w:sz w:val="24"/>
          <w:szCs w:val="24"/>
        </w:rPr>
      </w:pPr>
    </w:p>
    <w:p w:rsidR="00591EC1" w:rsidRPr="00A42E41" w:rsidRDefault="00591EC1" w:rsidP="00E7396B">
      <w:pPr>
        <w:spacing w:before="120" w:after="120" w:line="240" w:lineRule="auto"/>
        <w:ind w:left="567"/>
        <w:jc w:val="both"/>
        <w:rPr>
          <w:bCs/>
          <w:i/>
          <w:sz w:val="24"/>
          <w:szCs w:val="24"/>
        </w:rPr>
      </w:pPr>
      <w:r w:rsidRPr="00A42E41">
        <w:rPr>
          <w:bCs/>
          <w:i/>
          <w:sz w:val="24"/>
          <w:szCs w:val="24"/>
        </w:rPr>
        <w:t>Przestępstwa wynikające z prawa międzynarodowego</w:t>
      </w:r>
    </w:p>
    <w:p w:rsidR="00591EC1" w:rsidRPr="00A42E41" w:rsidRDefault="00591EC1" w:rsidP="00E7396B">
      <w:pPr>
        <w:pStyle w:val="Akapitzlist"/>
        <w:numPr>
          <w:ilvl w:val="0"/>
          <w:numId w:val="19"/>
        </w:numPr>
        <w:spacing w:before="120" w:after="120" w:line="240" w:lineRule="auto"/>
        <w:ind w:left="567"/>
        <w:contextualSpacing w:val="0"/>
        <w:jc w:val="both"/>
        <w:rPr>
          <w:bCs/>
          <w:sz w:val="24"/>
          <w:szCs w:val="24"/>
        </w:rPr>
      </w:pPr>
      <w:r>
        <w:rPr>
          <w:bCs/>
          <w:sz w:val="24"/>
          <w:szCs w:val="24"/>
        </w:rPr>
        <w:t>Określenie „</w:t>
      </w:r>
      <w:r w:rsidRPr="00A42E41">
        <w:rPr>
          <w:bCs/>
          <w:sz w:val="24"/>
          <w:szCs w:val="24"/>
        </w:rPr>
        <w:t>przestępstwa wyni</w:t>
      </w:r>
      <w:r>
        <w:rPr>
          <w:bCs/>
          <w:sz w:val="24"/>
          <w:szCs w:val="24"/>
        </w:rPr>
        <w:t>kające z prawa międzynarodowego”</w:t>
      </w:r>
      <w:r w:rsidRPr="00A42E41">
        <w:rPr>
          <w:bCs/>
          <w:sz w:val="24"/>
          <w:szCs w:val="24"/>
        </w:rPr>
        <w:t xml:space="preserve"> </w:t>
      </w:r>
      <w:r>
        <w:rPr>
          <w:bCs/>
          <w:sz w:val="24"/>
          <w:szCs w:val="24"/>
        </w:rPr>
        <w:t>odnosi</w:t>
      </w:r>
      <w:r w:rsidRPr="00A42E41">
        <w:rPr>
          <w:bCs/>
          <w:sz w:val="24"/>
          <w:szCs w:val="24"/>
        </w:rPr>
        <w:t xml:space="preserve"> się do ludobójstwa, zbrodni przeciw ludzkości i zbrodni wojennych, co do których jurysdykcję sprawuje</w:t>
      </w:r>
      <w:r>
        <w:rPr>
          <w:bCs/>
          <w:sz w:val="24"/>
          <w:szCs w:val="24"/>
        </w:rPr>
        <w:t xml:space="preserve"> Międzynarodowy Trybunał Karny na</w:t>
      </w:r>
      <w:r w:rsidRPr="00A42E41">
        <w:rPr>
          <w:bCs/>
          <w:sz w:val="24"/>
          <w:szCs w:val="24"/>
        </w:rPr>
        <w:t xml:space="preserve"> mocy </w:t>
      </w:r>
      <w:r>
        <w:rPr>
          <w:bCs/>
          <w:sz w:val="24"/>
          <w:szCs w:val="24"/>
        </w:rPr>
        <w:t xml:space="preserve">art. 6 - </w:t>
      </w:r>
      <w:r w:rsidRPr="00A42E41">
        <w:rPr>
          <w:bCs/>
          <w:sz w:val="24"/>
          <w:szCs w:val="24"/>
        </w:rPr>
        <w:t xml:space="preserve">8 Statutu Rzymskiego. Ponadto przyjmuje się, że </w:t>
      </w:r>
      <w:r w:rsidRPr="00FD5FE8">
        <w:rPr>
          <w:bCs/>
          <w:sz w:val="24"/>
          <w:szCs w:val="24"/>
          <w:u w:val="single"/>
        </w:rPr>
        <w:t>paragraf 44 Rekomendacji</w:t>
      </w:r>
      <w:r w:rsidRPr="00A42E41">
        <w:rPr>
          <w:bCs/>
          <w:sz w:val="24"/>
          <w:szCs w:val="24"/>
        </w:rPr>
        <w:t xml:space="preserve"> odnosi się również do odpowiedzialności za wszelkie formy uczestnictwa, takie jak </w:t>
      </w:r>
      <w:r w:rsidRPr="00F66898">
        <w:rPr>
          <w:bCs/>
          <w:sz w:val="24"/>
          <w:szCs w:val="24"/>
        </w:rPr>
        <w:t>podżeganie,</w:t>
      </w:r>
      <w:r w:rsidRPr="00F66898">
        <w:rPr>
          <w:sz w:val="24"/>
          <w:szCs w:val="24"/>
        </w:rPr>
        <w:t xml:space="preserve"> </w:t>
      </w:r>
      <w:r w:rsidRPr="00F66898">
        <w:rPr>
          <w:bCs/>
          <w:sz w:val="24"/>
          <w:szCs w:val="24"/>
        </w:rPr>
        <w:t>pomocnictwo, usiłowanie oraz współudział</w:t>
      </w:r>
      <w:r w:rsidRPr="00A42E41">
        <w:rPr>
          <w:bCs/>
          <w:sz w:val="24"/>
          <w:szCs w:val="24"/>
        </w:rPr>
        <w:t>.</w:t>
      </w:r>
    </w:p>
    <w:p w:rsidR="00591EC1" w:rsidRPr="00A42E41" w:rsidRDefault="00591EC1" w:rsidP="00E7396B">
      <w:pPr>
        <w:pStyle w:val="Akapitzlist"/>
        <w:spacing w:before="120" w:after="120" w:line="240" w:lineRule="auto"/>
        <w:ind w:left="1069"/>
        <w:contextualSpacing w:val="0"/>
        <w:jc w:val="both"/>
        <w:rPr>
          <w:bCs/>
          <w:i/>
          <w:sz w:val="24"/>
          <w:szCs w:val="24"/>
        </w:rPr>
      </w:pPr>
    </w:p>
    <w:p w:rsidR="00591EC1" w:rsidRPr="00A42E41" w:rsidRDefault="00591EC1" w:rsidP="00E7396B">
      <w:pPr>
        <w:spacing w:before="120" w:after="120" w:line="240" w:lineRule="auto"/>
        <w:ind w:left="567"/>
        <w:jc w:val="both"/>
        <w:rPr>
          <w:bCs/>
          <w:i/>
          <w:sz w:val="24"/>
          <w:szCs w:val="24"/>
        </w:rPr>
      </w:pPr>
      <w:r w:rsidRPr="00A42E41">
        <w:rPr>
          <w:bCs/>
          <w:i/>
          <w:sz w:val="24"/>
          <w:szCs w:val="24"/>
        </w:rPr>
        <w:t>Przestępstwa wynikające z traktatów</w:t>
      </w:r>
    </w:p>
    <w:p w:rsidR="00591EC1" w:rsidRPr="00A42E41" w:rsidRDefault="00591EC1" w:rsidP="00E7396B">
      <w:pPr>
        <w:pStyle w:val="Akapitzlist"/>
        <w:numPr>
          <w:ilvl w:val="0"/>
          <w:numId w:val="19"/>
        </w:numPr>
        <w:spacing w:before="120" w:after="120" w:line="240" w:lineRule="auto"/>
        <w:ind w:left="567"/>
        <w:contextualSpacing w:val="0"/>
        <w:jc w:val="both"/>
        <w:rPr>
          <w:b/>
          <w:bCs/>
          <w:sz w:val="24"/>
          <w:szCs w:val="24"/>
        </w:rPr>
      </w:pPr>
      <w:r w:rsidRPr="00A42E41">
        <w:rPr>
          <w:bCs/>
          <w:sz w:val="24"/>
          <w:szCs w:val="24"/>
        </w:rPr>
        <w:t>Należy zauważyć, ż</w:t>
      </w:r>
      <w:r>
        <w:rPr>
          <w:bCs/>
          <w:sz w:val="24"/>
          <w:szCs w:val="24"/>
        </w:rPr>
        <w:t>e lista zobowiązań wynikająca z</w:t>
      </w:r>
      <w:r w:rsidRPr="00A42E41">
        <w:rPr>
          <w:bCs/>
          <w:sz w:val="24"/>
          <w:szCs w:val="24"/>
        </w:rPr>
        <w:t xml:space="preserve"> traktatów w </w:t>
      </w:r>
      <w:r w:rsidRPr="00D76543">
        <w:rPr>
          <w:bCs/>
          <w:sz w:val="24"/>
          <w:szCs w:val="24"/>
          <w:u w:val="single"/>
        </w:rPr>
        <w:t>paragrafie 44 Rekomendacji</w:t>
      </w:r>
      <w:r w:rsidRPr="00A42E41">
        <w:rPr>
          <w:bCs/>
          <w:sz w:val="24"/>
          <w:szCs w:val="24"/>
        </w:rPr>
        <w:t xml:space="preserve"> do kryminalizacji pewnych czynów nie jest wyczerpująca, ale odnosi się do tych przestępstw, które mogą mieć szczególne znaczenie </w:t>
      </w:r>
      <w:r>
        <w:rPr>
          <w:bCs/>
          <w:sz w:val="24"/>
          <w:szCs w:val="24"/>
        </w:rPr>
        <w:t>dla</w:t>
      </w:r>
      <w:r w:rsidRPr="00A42E41">
        <w:rPr>
          <w:bCs/>
          <w:sz w:val="24"/>
          <w:szCs w:val="24"/>
        </w:rPr>
        <w:t xml:space="preserve"> niektórych rodzajów działalności gospodarczej. Paragraf ten zachęca również państwa członkowskie, które jeszcze nie ratyfikowały traktatów wymienionych w tym orientacyjnym wykazie, aby to uczyniły. Nawet jeśli państwa członkowskie nie przyjęły jeszcze powyższych traktatów, to zobowiązania wynikające z Konwencji o ochronie praw człowieka i </w:t>
      </w:r>
      <w:r>
        <w:rPr>
          <w:bCs/>
          <w:sz w:val="24"/>
          <w:szCs w:val="24"/>
        </w:rPr>
        <w:t>podstawowych wolności</w:t>
      </w:r>
      <w:r w:rsidRPr="00A42E41">
        <w:rPr>
          <w:bCs/>
          <w:sz w:val="24"/>
          <w:szCs w:val="24"/>
        </w:rPr>
        <w:t xml:space="preserve"> mogą je zobowiązać do kryminalizacji określonych czynów w odniesieniu do indywidualnej odpowiedzialności karnej. W zakres</w:t>
      </w:r>
      <w:r>
        <w:rPr>
          <w:bCs/>
          <w:sz w:val="24"/>
          <w:szCs w:val="24"/>
        </w:rPr>
        <w:t>ie</w:t>
      </w:r>
      <w:r w:rsidRPr="00A42E41">
        <w:rPr>
          <w:bCs/>
          <w:sz w:val="24"/>
          <w:szCs w:val="24"/>
        </w:rPr>
        <w:t xml:space="preserve"> art. 4 Konwencji</w:t>
      </w:r>
      <w:r>
        <w:rPr>
          <w:bCs/>
          <w:sz w:val="24"/>
          <w:szCs w:val="24"/>
        </w:rPr>
        <w:t xml:space="preserve"> dotyczy</w:t>
      </w:r>
      <w:r w:rsidRPr="00A42E41">
        <w:rPr>
          <w:bCs/>
          <w:sz w:val="24"/>
          <w:szCs w:val="24"/>
        </w:rPr>
        <w:t xml:space="preserve"> to na przykład handlu </w:t>
      </w:r>
      <w:r w:rsidRPr="00D76543">
        <w:rPr>
          <w:bCs/>
          <w:sz w:val="24"/>
          <w:szCs w:val="24"/>
        </w:rPr>
        <w:t>ludźmi</w:t>
      </w:r>
      <w:r w:rsidRPr="00D76543">
        <w:rPr>
          <w:rStyle w:val="Odwoanieprzypisukocowego"/>
          <w:bCs/>
          <w:sz w:val="24"/>
          <w:szCs w:val="24"/>
        </w:rPr>
        <w:endnoteReference w:id="30"/>
      </w:r>
      <w:r w:rsidRPr="00D76543">
        <w:rPr>
          <w:bCs/>
          <w:sz w:val="24"/>
          <w:szCs w:val="24"/>
        </w:rPr>
        <w:t xml:space="preserve"> lub </w:t>
      </w:r>
      <w:r>
        <w:rPr>
          <w:bCs/>
          <w:sz w:val="24"/>
          <w:szCs w:val="24"/>
        </w:rPr>
        <w:t>poddaństwa domowego i wyzysku</w:t>
      </w:r>
      <w:r w:rsidRPr="00D76543">
        <w:rPr>
          <w:bCs/>
          <w:sz w:val="24"/>
          <w:szCs w:val="24"/>
        </w:rPr>
        <w:t>.</w:t>
      </w:r>
      <w:r w:rsidRPr="00D76543">
        <w:rPr>
          <w:rStyle w:val="Odwoanieprzypisukocowego"/>
          <w:bCs/>
          <w:sz w:val="24"/>
          <w:szCs w:val="24"/>
        </w:rPr>
        <w:endnoteReference w:id="31"/>
      </w:r>
      <w:r w:rsidRPr="00A42E41">
        <w:rPr>
          <w:bCs/>
          <w:sz w:val="24"/>
          <w:szCs w:val="24"/>
        </w:rPr>
        <w:t xml:space="preserve"> Przyjmuje się, że odniesienia </w:t>
      </w:r>
      <w:r w:rsidRPr="00D76543">
        <w:rPr>
          <w:bCs/>
          <w:sz w:val="24"/>
          <w:szCs w:val="24"/>
          <w:u w:val="single"/>
        </w:rPr>
        <w:t>w paragrafie 44</w:t>
      </w:r>
      <w:r w:rsidRPr="00A42E41">
        <w:rPr>
          <w:bCs/>
          <w:sz w:val="24"/>
          <w:szCs w:val="24"/>
        </w:rPr>
        <w:t xml:space="preserve"> obejmują również dodatkowe i fakultatywne protokoły do wymienionych traktatów. Poniżej przedstawiono krótki przegląd przestępstw wynikających z traktatów</w:t>
      </w:r>
      <w:r>
        <w:rPr>
          <w:bCs/>
          <w:sz w:val="24"/>
          <w:szCs w:val="24"/>
        </w:rPr>
        <w:t>,</w:t>
      </w:r>
      <w:r w:rsidRPr="00A42E41">
        <w:rPr>
          <w:bCs/>
          <w:sz w:val="24"/>
          <w:szCs w:val="24"/>
        </w:rPr>
        <w:t xml:space="preserve"> o których mowa w paragrafie 44</w:t>
      </w:r>
      <w:r w:rsidRPr="00A42E41">
        <w:rPr>
          <w:b/>
          <w:bCs/>
          <w:sz w:val="24"/>
          <w:szCs w:val="24"/>
        </w:rPr>
        <w:t>:</w:t>
      </w:r>
    </w:p>
    <w:p w:rsidR="00591EC1" w:rsidRPr="00A42E41" w:rsidRDefault="00591EC1" w:rsidP="00E7396B">
      <w:pPr>
        <w:pStyle w:val="Akapitzlist"/>
        <w:numPr>
          <w:ilvl w:val="0"/>
          <w:numId w:val="28"/>
        </w:numPr>
        <w:spacing w:before="120" w:after="120" w:line="240" w:lineRule="auto"/>
        <w:contextualSpacing w:val="0"/>
        <w:jc w:val="both"/>
        <w:rPr>
          <w:bCs/>
          <w:sz w:val="24"/>
          <w:szCs w:val="24"/>
        </w:rPr>
      </w:pPr>
      <w:r w:rsidRPr="00A42E41">
        <w:rPr>
          <w:bCs/>
          <w:sz w:val="24"/>
          <w:szCs w:val="24"/>
        </w:rPr>
        <w:t xml:space="preserve">Konwencja o cyberprzestępczości, która weszła w życie w 2001 r., jest jedynym wiążącym międzynarodowym instrumentem w dziedzinie cyberprzestępczości. Służy jako wytyczne dla każdego państwa opracowującego krajową kompleksową legislację </w:t>
      </w:r>
      <w:r>
        <w:rPr>
          <w:bCs/>
          <w:sz w:val="24"/>
          <w:szCs w:val="24"/>
        </w:rPr>
        <w:t xml:space="preserve">w przedmiocie </w:t>
      </w:r>
      <w:r w:rsidRPr="00A42E41">
        <w:rPr>
          <w:bCs/>
          <w:sz w:val="24"/>
          <w:szCs w:val="24"/>
        </w:rPr>
        <w:t>walki z cyberprzestępczością oraz jako ramy dla międzynarodowe</w:t>
      </w:r>
      <w:r>
        <w:rPr>
          <w:bCs/>
          <w:sz w:val="24"/>
          <w:szCs w:val="24"/>
        </w:rPr>
        <w:t>j współpracy pomiędzy państwami-</w:t>
      </w:r>
      <w:r w:rsidRPr="00A42E41">
        <w:rPr>
          <w:bCs/>
          <w:sz w:val="24"/>
          <w:szCs w:val="24"/>
        </w:rPr>
        <w:t>stronami Konwencji</w:t>
      </w:r>
      <w:r>
        <w:rPr>
          <w:bCs/>
          <w:sz w:val="24"/>
          <w:szCs w:val="24"/>
        </w:rPr>
        <w:t>. Konwencja została</w:t>
      </w:r>
      <w:r w:rsidRPr="00A42E41">
        <w:rPr>
          <w:bCs/>
          <w:sz w:val="24"/>
          <w:szCs w:val="24"/>
        </w:rPr>
        <w:t xml:space="preserve"> uzupełniona Protokołem w sprawie ksenofobii i rasizmu popełnionych przy użyciu systemów komputerowych. Zobowiązuje on państwa do przyjęcia środków ustawodawczych lub innych w takich obszarach jak nielegalny dostęp i przechwytywanie, ingerowanie w dane, fałszerstwa i oszustwa</w:t>
      </w:r>
      <w:r>
        <w:rPr>
          <w:bCs/>
          <w:sz w:val="24"/>
          <w:szCs w:val="24"/>
        </w:rPr>
        <w:t xml:space="preserve"> </w:t>
      </w:r>
      <w:r w:rsidRPr="00A42E41">
        <w:rPr>
          <w:bCs/>
          <w:sz w:val="24"/>
          <w:szCs w:val="24"/>
        </w:rPr>
        <w:t>związane z systemami komputerowymi, pornografia dziecięca oraz naruszenia praw autorskich. Zgodnie z art.</w:t>
      </w:r>
      <w:r>
        <w:rPr>
          <w:bCs/>
          <w:sz w:val="24"/>
          <w:szCs w:val="24"/>
        </w:rPr>
        <w:t xml:space="preserve"> 12 („</w:t>
      </w:r>
      <w:r w:rsidRPr="00D76543">
        <w:rPr>
          <w:bCs/>
          <w:sz w:val="24"/>
          <w:szCs w:val="24"/>
        </w:rPr>
        <w:t>Odpowiedzialność osób prawnych") państwa</w:t>
      </w:r>
      <w:r w:rsidRPr="00A42E41">
        <w:rPr>
          <w:bCs/>
          <w:sz w:val="24"/>
          <w:szCs w:val="24"/>
        </w:rPr>
        <w:t xml:space="preserve"> powinny przyjąć takie środki prawne i inne, jakie okażą się niezbędne dla zagwarantowania po</w:t>
      </w:r>
      <w:r>
        <w:rPr>
          <w:bCs/>
          <w:sz w:val="24"/>
          <w:szCs w:val="24"/>
        </w:rPr>
        <w:t>ciągnięcia do</w:t>
      </w:r>
      <w:r w:rsidRPr="00A42E41">
        <w:rPr>
          <w:bCs/>
          <w:sz w:val="24"/>
          <w:szCs w:val="24"/>
        </w:rPr>
        <w:t xml:space="preserve"> odpowiedzialności os</w:t>
      </w:r>
      <w:r>
        <w:rPr>
          <w:bCs/>
          <w:sz w:val="24"/>
          <w:szCs w:val="24"/>
        </w:rPr>
        <w:t>ó</w:t>
      </w:r>
      <w:r w:rsidRPr="00A42E41">
        <w:rPr>
          <w:bCs/>
          <w:sz w:val="24"/>
          <w:szCs w:val="24"/>
        </w:rPr>
        <w:t>b prawn</w:t>
      </w:r>
      <w:r>
        <w:rPr>
          <w:bCs/>
          <w:sz w:val="24"/>
          <w:szCs w:val="24"/>
        </w:rPr>
        <w:t>ych</w:t>
      </w:r>
      <w:r w:rsidRPr="00A42E41">
        <w:rPr>
          <w:bCs/>
          <w:sz w:val="24"/>
          <w:szCs w:val="24"/>
        </w:rPr>
        <w:t xml:space="preserve"> za przestępstwa określone zgodnie z Konwencją.</w:t>
      </w:r>
    </w:p>
    <w:p w:rsidR="00591EC1" w:rsidRPr="00A42E41" w:rsidRDefault="00591EC1" w:rsidP="00E7396B">
      <w:pPr>
        <w:pStyle w:val="Akapitzlist"/>
        <w:numPr>
          <w:ilvl w:val="0"/>
          <w:numId w:val="28"/>
        </w:numPr>
        <w:spacing w:before="120" w:after="120" w:line="240" w:lineRule="auto"/>
        <w:contextualSpacing w:val="0"/>
        <w:jc w:val="both"/>
        <w:rPr>
          <w:bCs/>
          <w:sz w:val="24"/>
          <w:szCs w:val="24"/>
        </w:rPr>
      </w:pPr>
      <w:r w:rsidRPr="00A42E41">
        <w:rPr>
          <w:bCs/>
          <w:sz w:val="24"/>
          <w:szCs w:val="24"/>
        </w:rPr>
        <w:t xml:space="preserve">Konwencja przeciwko handlowi ludźmi weszła w życie w 2008 r. </w:t>
      </w:r>
      <w:r w:rsidRPr="006303D2">
        <w:rPr>
          <w:bCs/>
          <w:sz w:val="24"/>
          <w:szCs w:val="24"/>
        </w:rPr>
        <w:t>Ma ona na celu ochronę ofiar handlu</w:t>
      </w:r>
      <w:r w:rsidRPr="00A42E41">
        <w:rPr>
          <w:bCs/>
          <w:sz w:val="24"/>
          <w:szCs w:val="24"/>
        </w:rPr>
        <w:t xml:space="preserve"> ludźmi oraz ochronę ich praw, jak również zapobieganie </w:t>
      </w:r>
      <w:r w:rsidRPr="00A42E41">
        <w:rPr>
          <w:bCs/>
          <w:sz w:val="24"/>
          <w:szCs w:val="24"/>
        </w:rPr>
        <w:lastRenderedPageBreak/>
        <w:t>handlowi i ściganie handlarzy. Konwencja ma zastosowanie do wszystkich form handlu ludźmi</w:t>
      </w:r>
      <w:r>
        <w:rPr>
          <w:bCs/>
          <w:sz w:val="24"/>
          <w:szCs w:val="24"/>
        </w:rPr>
        <w:t xml:space="preserve">, tj. </w:t>
      </w:r>
      <w:r w:rsidRPr="00A42E41">
        <w:rPr>
          <w:bCs/>
          <w:sz w:val="24"/>
          <w:szCs w:val="24"/>
        </w:rPr>
        <w:t>do</w:t>
      </w:r>
      <w:r>
        <w:rPr>
          <w:bCs/>
          <w:sz w:val="24"/>
          <w:szCs w:val="24"/>
        </w:rPr>
        <w:t xml:space="preserve"> handlu</w:t>
      </w:r>
      <w:r w:rsidRPr="00A42E41">
        <w:rPr>
          <w:bCs/>
          <w:sz w:val="24"/>
          <w:szCs w:val="24"/>
        </w:rPr>
        <w:t xml:space="preserve"> krajowego</w:t>
      </w:r>
      <w:r>
        <w:rPr>
          <w:bCs/>
          <w:sz w:val="24"/>
          <w:szCs w:val="24"/>
        </w:rPr>
        <w:t>,</w:t>
      </w:r>
      <w:r w:rsidRPr="00A42E41">
        <w:rPr>
          <w:bCs/>
          <w:sz w:val="24"/>
          <w:szCs w:val="24"/>
        </w:rPr>
        <w:t xml:space="preserve"> ponadnarodowego</w:t>
      </w:r>
      <w:r>
        <w:rPr>
          <w:bCs/>
          <w:sz w:val="24"/>
          <w:szCs w:val="24"/>
        </w:rPr>
        <w:t xml:space="preserve"> i</w:t>
      </w:r>
      <w:r w:rsidRPr="00A42E41">
        <w:rPr>
          <w:bCs/>
          <w:sz w:val="24"/>
          <w:szCs w:val="24"/>
        </w:rPr>
        <w:t xml:space="preserve"> związanego z przestępczością zorganizowaną,</w:t>
      </w:r>
      <w:r>
        <w:rPr>
          <w:bCs/>
          <w:sz w:val="24"/>
          <w:szCs w:val="24"/>
        </w:rPr>
        <w:t xml:space="preserve"> do wszystkich kategorii</w:t>
      </w:r>
      <w:r w:rsidRPr="00A42E41">
        <w:rPr>
          <w:bCs/>
          <w:sz w:val="24"/>
          <w:szCs w:val="24"/>
        </w:rPr>
        <w:t xml:space="preserve"> ofiar </w:t>
      </w:r>
      <w:r>
        <w:rPr>
          <w:bCs/>
          <w:sz w:val="24"/>
          <w:szCs w:val="24"/>
        </w:rPr>
        <w:t>(</w:t>
      </w:r>
      <w:r w:rsidRPr="00A42E41">
        <w:rPr>
          <w:bCs/>
          <w:sz w:val="24"/>
          <w:szCs w:val="24"/>
        </w:rPr>
        <w:t>kobiet, mężczyzn</w:t>
      </w:r>
      <w:r>
        <w:rPr>
          <w:bCs/>
          <w:sz w:val="24"/>
          <w:szCs w:val="24"/>
        </w:rPr>
        <w:t xml:space="preserve"> i</w:t>
      </w:r>
      <w:r w:rsidRPr="00A42E41">
        <w:rPr>
          <w:bCs/>
          <w:sz w:val="24"/>
          <w:szCs w:val="24"/>
        </w:rPr>
        <w:t xml:space="preserve"> dziec</w:t>
      </w:r>
      <w:r>
        <w:rPr>
          <w:bCs/>
          <w:sz w:val="24"/>
          <w:szCs w:val="24"/>
        </w:rPr>
        <w:t>i)</w:t>
      </w:r>
      <w:r w:rsidRPr="00A42E41">
        <w:rPr>
          <w:bCs/>
          <w:sz w:val="24"/>
          <w:szCs w:val="24"/>
        </w:rPr>
        <w:t>, oraz</w:t>
      </w:r>
      <w:r>
        <w:rPr>
          <w:bCs/>
          <w:sz w:val="24"/>
          <w:szCs w:val="24"/>
        </w:rPr>
        <w:t xml:space="preserve"> do</w:t>
      </w:r>
      <w:r w:rsidRPr="00A42E41">
        <w:rPr>
          <w:bCs/>
          <w:sz w:val="24"/>
          <w:szCs w:val="24"/>
        </w:rPr>
        <w:t xml:space="preserve"> </w:t>
      </w:r>
      <w:r>
        <w:rPr>
          <w:bCs/>
          <w:sz w:val="24"/>
          <w:szCs w:val="24"/>
        </w:rPr>
        <w:t>każdej</w:t>
      </w:r>
      <w:r w:rsidRPr="00A42E41">
        <w:rPr>
          <w:bCs/>
          <w:sz w:val="24"/>
          <w:szCs w:val="24"/>
        </w:rPr>
        <w:t xml:space="preserve"> formy </w:t>
      </w:r>
      <w:r w:rsidRPr="00D76543">
        <w:rPr>
          <w:bCs/>
          <w:sz w:val="24"/>
          <w:szCs w:val="24"/>
        </w:rPr>
        <w:t>wyzysku,</w:t>
      </w:r>
      <w:r w:rsidRPr="00A42E41">
        <w:rPr>
          <w:bCs/>
          <w:sz w:val="24"/>
          <w:szCs w:val="24"/>
        </w:rPr>
        <w:t xml:space="preserve"> wykorzystywania seksualnego, pracy</w:t>
      </w:r>
      <w:r w:rsidRPr="00A42E41">
        <w:rPr>
          <w:sz w:val="24"/>
          <w:szCs w:val="24"/>
        </w:rPr>
        <w:t xml:space="preserve"> </w:t>
      </w:r>
      <w:r w:rsidRPr="00A42E41">
        <w:rPr>
          <w:bCs/>
          <w:sz w:val="24"/>
          <w:szCs w:val="24"/>
        </w:rPr>
        <w:t>przymusowej lub służby. Konwencja zobowiązuje państwa do kryminalizacji handlu ludźmi, korzystania z usług świadczonych przez ofiary oraz niektórych czynności dotyczących podróży lub dokumentów tożsamości. Art. 22 Konwencji nakłada na państwa obowiązek uregulowania odpowiedzialności osób prawnych.</w:t>
      </w:r>
    </w:p>
    <w:p w:rsidR="00591EC1" w:rsidRPr="00A42E41" w:rsidRDefault="00591EC1" w:rsidP="00E7396B">
      <w:pPr>
        <w:pStyle w:val="Akapitzlist"/>
        <w:numPr>
          <w:ilvl w:val="0"/>
          <w:numId w:val="28"/>
        </w:numPr>
        <w:spacing w:before="120" w:after="120" w:line="240" w:lineRule="auto"/>
        <w:contextualSpacing w:val="0"/>
        <w:jc w:val="both"/>
        <w:rPr>
          <w:bCs/>
          <w:sz w:val="24"/>
          <w:szCs w:val="24"/>
        </w:rPr>
      </w:pPr>
      <w:r w:rsidRPr="00A42E41">
        <w:rPr>
          <w:bCs/>
          <w:sz w:val="24"/>
          <w:szCs w:val="24"/>
        </w:rPr>
        <w:t>Konwencja o ochronie dzieci przed seksualnym wykorzystywaniem i niegodziwym traktowaniem w celach seksualnych weszła w życie w 2010 r. i jest pierwszym instrumentem, który uznaje za</w:t>
      </w:r>
      <w:r w:rsidRPr="00A42E41">
        <w:rPr>
          <w:sz w:val="24"/>
          <w:szCs w:val="24"/>
        </w:rPr>
        <w:t xml:space="preserve"> </w:t>
      </w:r>
      <w:r w:rsidRPr="00A42E41">
        <w:rPr>
          <w:bCs/>
          <w:sz w:val="24"/>
          <w:szCs w:val="24"/>
        </w:rPr>
        <w:t>przestępstwa różne form</w:t>
      </w:r>
      <w:r>
        <w:rPr>
          <w:bCs/>
          <w:sz w:val="24"/>
          <w:szCs w:val="24"/>
        </w:rPr>
        <w:t>y</w:t>
      </w:r>
      <w:r w:rsidRPr="00A42E41">
        <w:rPr>
          <w:bCs/>
          <w:sz w:val="24"/>
          <w:szCs w:val="24"/>
        </w:rPr>
        <w:t xml:space="preserve"> wykorzystywania seksualnego dzieci. Konwencja</w:t>
      </w:r>
      <w:r>
        <w:rPr>
          <w:bCs/>
          <w:sz w:val="24"/>
          <w:szCs w:val="24"/>
        </w:rPr>
        <w:t xml:space="preserve"> przewiduje</w:t>
      </w:r>
      <w:r w:rsidRPr="00A42E41">
        <w:rPr>
          <w:bCs/>
          <w:sz w:val="24"/>
          <w:szCs w:val="24"/>
        </w:rPr>
        <w:t>, że pewne rodzaje zachowań są klasyfikowane jako przestępstwa</w:t>
      </w:r>
      <w:r>
        <w:rPr>
          <w:bCs/>
          <w:sz w:val="24"/>
          <w:szCs w:val="24"/>
        </w:rPr>
        <w:t>. Należą do nich</w:t>
      </w:r>
      <w:r w:rsidRPr="00A42E41">
        <w:rPr>
          <w:bCs/>
          <w:sz w:val="24"/>
          <w:szCs w:val="24"/>
        </w:rPr>
        <w:t xml:space="preserve"> uczestnictwo w czynnościach seksualnych z udziałem dziecka poniżej ustawowego wieku oraz dziecięcej prostytucji i pornografii. Art. 9</w:t>
      </w:r>
      <w:r>
        <w:rPr>
          <w:bCs/>
          <w:sz w:val="24"/>
          <w:szCs w:val="24"/>
        </w:rPr>
        <w:t xml:space="preserve"> ust.</w:t>
      </w:r>
      <w:r w:rsidRPr="00A42E41">
        <w:rPr>
          <w:bCs/>
          <w:sz w:val="24"/>
          <w:szCs w:val="24"/>
        </w:rPr>
        <w:t xml:space="preserve"> 2 Konwencji stanowi, że: </w:t>
      </w:r>
      <w:r>
        <w:rPr>
          <w:bCs/>
          <w:sz w:val="24"/>
          <w:szCs w:val="24"/>
        </w:rPr>
        <w:t>„</w:t>
      </w:r>
      <w:r w:rsidRPr="00A42E41">
        <w:rPr>
          <w:bCs/>
          <w:sz w:val="24"/>
          <w:szCs w:val="24"/>
        </w:rPr>
        <w:t>Każda ze Stron zachęca przedstawicieli sektora prywatnego, w szczególności przedsiębiorstwa związane z technologią informacyjną i telekomunikacyjną, branżą turystyczną, sektorem bankowym i finansowym, a także społeczeństwo, do udziału w opracowywaniu i wdrożeniu polityki mającej na celu zapobieganie seksualnemu wykorzystywaniu i niegodziwemu traktowaniu dzieci w celach seksualnych oraz do wprowadzania wewnętrzn</w:t>
      </w:r>
      <w:r>
        <w:rPr>
          <w:bCs/>
          <w:sz w:val="24"/>
          <w:szCs w:val="24"/>
        </w:rPr>
        <w:t>ych</w:t>
      </w:r>
      <w:r w:rsidRPr="00A42E41">
        <w:rPr>
          <w:bCs/>
          <w:sz w:val="24"/>
          <w:szCs w:val="24"/>
        </w:rPr>
        <w:t xml:space="preserve"> norm i zasad służących realizacji tej polityki.</w:t>
      </w:r>
      <w:r w:rsidRPr="00A42E41">
        <w:rPr>
          <w:rStyle w:val="Odwoanieprzypisukocowego"/>
          <w:bCs/>
          <w:sz w:val="24"/>
          <w:szCs w:val="24"/>
        </w:rPr>
        <w:endnoteReference w:id="32"/>
      </w:r>
      <w:r w:rsidRPr="00A42E41">
        <w:rPr>
          <w:bCs/>
          <w:sz w:val="24"/>
          <w:szCs w:val="24"/>
        </w:rPr>
        <w:t xml:space="preserve"> Art. 26 Konwencji nakłada na państwa obowiązek uregulowania odpowiedzialności osób prawnych.</w:t>
      </w:r>
    </w:p>
    <w:p w:rsidR="00591EC1" w:rsidRPr="00A42E41" w:rsidRDefault="00591EC1" w:rsidP="00E7396B">
      <w:pPr>
        <w:pStyle w:val="Akapitzlist"/>
        <w:numPr>
          <w:ilvl w:val="0"/>
          <w:numId w:val="28"/>
        </w:numPr>
        <w:spacing w:before="120" w:after="120" w:line="240" w:lineRule="auto"/>
        <w:contextualSpacing w:val="0"/>
        <w:jc w:val="both"/>
        <w:rPr>
          <w:bCs/>
          <w:sz w:val="24"/>
          <w:szCs w:val="24"/>
        </w:rPr>
      </w:pPr>
      <w:r w:rsidRPr="00A42E41">
        <w:rPr>
          <w:bCs/>
          <w:sz w:val="24"/>
          <w:szCs w:val="24"/>
        </w:rPr>
        <w:t>Prawnokarna konwencja o korupcji, która weszła w życie w 2002 r., ma na celu skoordynowaną kryminalizację dużej liczby praktyk korupcyjnych. Obejmuje swoim zakresem różne formy zachowań korupcyjnych, w tym czynne i bierne przekupstw</w:t>
      </w:r>
      <w:r>
        <w:rPr>
          <w:bCs/>
          <w:sz w:val="24"/>
          <w:szCs w:val="24"/>
        </w:rPr>
        <w:t>o</w:t>
      </w:r>
      <w:r w:rsidRPr="00A42E41">
        <w:rPr>
          <w:bCs/>
          <w:sz w:val="24"/>
          <w:szCs w:val="24"/>
        </w:rPr>
        <w:t xml:space="preserve"> w sektorze prywatnym. Państwa są zobowiązane do zapewnienia skutecznych i odstraszających sankcji i środków, w tym </w:t>
      </w:r>
      <w:r w:rsidRPr="00746D46">
        <w:rPr>
          <w:bCs/>
          <w:sz w:val="24"/>
          <w:szCs w:val="24"/>
        </w:rPr>
        <w:t>pozbawienia wolności, któr</w:t>
      </w:r>
      <w:r>
        <w:rPr>
          <w:bCs/>
          <w:sz w:val="24"/>
          <w:szCs w:val="24"/>
        </w:rPr>
        <w:t>e</w:t>
      </w:r>
      <w:r w:rsidRPr="00746D46">
        <w:rPr>
          <w:bCs/>
          <w:sz w:val="24"/>
          <w:szCs w:val="24"/>
        </w:rPr>
        <w:t xml:space="preserve"> może prowadzić do ekstradycji. Art. 17 wymaga od Stron uznania swojej właściwości w sprawach przestępstw związanych z korupcją popełnionych w państwie trzecim (tj. poza ich jurysdykcją) przez osoby fizyczne i prawne</w:t>
      </w:r>
      <w:r>
        <w:rPr>
          <w:bCs/>
          <w:sz w:val="24"/>
          <w:szCs w:val="24"/>
        </w:rPr>
        <w:t xml:space="preserve"> z</w:t>
      </w:r>
      <w:r w:rsidRPr="00746D46">
        <w:rPr>
          <w:bCs/>
          <w:sz w:val="24"/>
          <w:szCs w:val="24"/>
        </w:rPr>
        <w:t xml:space="preserve"> tych państw. Art. 18 przewiduje odpowiedzialność</w:t>
      </w:r>
      <w:r w:rsidRPr="00A42E41">
        <w:rPr>
          <w:bCs/>
          <w:sz w:val="24"/>
          <w:szCs w:val="24"/>
        </w:rPr>
        <w:t xml:space="preserve"> prywatnych podmiotów prawnych. Oprócz aspektów prawa karnego </w:t>
      </w:r>
      <w:r>
        <w:rPr>
          <w:bCs/>
          <w:sz w:val="24"/>
          <w:szCs w:val="24"/>
        </w:rPr>
        <w:t>tej</w:t>
      </w:r>
      <w:r w:rsidRPr="00A42E41">
        <w:rPr>
          <w:bCs/>
          <w:sz w:val="24"/>
          <w:szCs w:val="24"/>
        </w:rPr>
        <w:t xml:space="preserve"> Konwencji, Cywilnoprawna konwencja o korupcji (która weszła w życie w 2003 r.) przewiduje skuteczne środki dla osób, które poniosły szkodę w wyniku czynów korupcyjnych.</w:t>
      </w:r>
    </w:p>
    <w:p w:rsidR="00591EC1" w:rsidRPr="00A42E41" w:rsidRDefault="00591EC1" w:rsidP="00E7396B">
      <w:pPr>
        <w:pStyle w:val="Akapitzlist"/>
        <w:numPr>
          <w:ilvl w:val="0"/>
          <w:numId w:val="28"/>
        </w:numPr>
        <w:spacing w:before="120" w:after="120" w:line="240" w:lineRule="auto"/>
        <w:contextualSpacing w:val="0"/>
        <w:jc w:val="both"/>
        <w:rPr>
          <w:bCs/>
          <w:sz w:val="24"/>
          <w:szCs w:val="24"/>
        </w:rPr>
      </w:pPr>
      <w:r w:rsidRPr="00A42E41">
        <w:rPr>
          <w:bCs/>
          <w:sz w:val="24"/>
          <w:szCs w:val="24"/>
        </w:rPr>
        <w:t>Konwencja ONZ przeciwko korupcji, która weszła w życie w 2005 r., przewiduje środki zapobiegawcze również skierowane do sektora prywatnego, a także kryminalizację wielu czynów, w tym korupcji w sektorze prywatnym. Art. 26 Konwencji dotyczy odpowiedzialności osób prawnych.</w:t>
      </w:r>
    </w:p>
    <w:p w:rsidR="00591EC1" w:rsidRPr="00A42E41" w:rsidRDefault="00591EC1" w:rsidP="00E7396B">
      <w:pPr>
        <w:pStyle w:val="Akapitzlist"/>
        <w:numPr>
          <w:ilvl w:val="0"/>
          <w:numId w:val="28"/>
        </w:numPr>
        <w:spacing w:before="120" w:after="120" w:line="240" w:lineRule="auto"/>
        <w:contextualSpacing w:val="0"/>
        <w:jc w:val="both"/>
        <w:rPr>
          <w:bCs/>
          <w:sz w:val="24"/>
          <w:szCs w:val="24"/>
        </w:rPr>
      </w:pPr>
      <w:r w:rsidRPr="00A42E41">
        <w:rPr>
          <w:bCs/>
          <w:sz w:val="24"/>
          <w:szCs w:val="24"/>
        </w:rPr>
        <w:t xml:space="preserve">Konwencja ONZ o prawach dziecka, która weszła w życie w 1990 r., </w:t>
      </w:r>
      <w:r>
        <w:rPr>
          <w:bCs/>
          <w:sz w:val="24"/>
          <w:szCs w:val="24"/>
        </w:rPr>
        <w:t>u</w:t>
      </w:r>
      <w:r w:rsidRPr="00A42E41">
        <w:rPr>
          <w:bCs/>
          <w:sz w:val="24"/>
          <w:szCs w:val="24"/>
        </w:rPr>
        <w:t>znaje w art. 32 prawo dziecka do ochrony przed wyzyskiem ekonomicznym, przed wykonywaniem pracy, która może być niebezpieczna lub może kolidować z kształceniem dziecka, bądź może być szkodliwa dla zdrowia dziecka lub jego rozwoju fizycznego, umysłowego, duchowego, moralnego lub społecznego. Państwa-</w:t>
      </w:r>
      <w:r>
        <w:rPr>
          <w:bCs/>
          <w:sz w:val="24"/>
          <w:szCs w:val="24"/>
        </w:rPr>
        <w:t>s</w:t>
      </w:r>
      <w:r w:rsidRPr="00A42E41">
        <w:rPr>
          <w:bCs/>
          <w:sz w:val="24"/>
          <w:szCs w:val="24"/>
        </w:rPr>
        <w:t xml:space="preserve">trony powinny w szczególności zapewnić minimalny wiek dopuszczenia </w:t>
      </w:r>
      <w:r w:rsidRPr="00A42E41">
        <w:rPr>
          <w:bCs/>
          <w:sz w:val="24"/>
          <w:szCs w:val="24"/>
        </w:rPr>
        <w:lastRenderedPageBreak/>
        <w:t>do zatrudnienia; zapewnić odpowiednią regulację godzin i warunków zatrudnienia; i przewidzieć odpowiednie kary lub inne sankcje do zapewnienia skutecznego stosowania tego artykułu. Art. 19</w:t>
      </w:r>
      <w:r w:rsidRPr="00A42E41">
        <w:rPr>
          <w:sz w:val="24"/>
          <w:szCs w:val="24"/>
        </w:rPr>
        <w:t xml:space="preserve"> </w:t>
      </w:r>
      <w:r w:rsidRPr="00A42E41">
        <w:rPr>
          <w:bCs/>
          <w:sz w:val="24"/>
          <w:szCs w:val="24"/>
        </w:rPr>
        <w:t xml:space="preserve">Konwencji zobowiązuje </w:t>
      </w:r>
      <w:r>
        <w:rPr>
          <w:bCs/>
          <w:sz w:val="24"/>
          <w:szCs w:val="24"/>
        </w:rPr>
        <w:t>p</w:t>
      </w:r>
      <w:r w:rsidRPr="00A42E41">
        <w:rPr>
          <w:bCs/>
          <w:sz w:val="24"/>
          <w:szCs w:val="24"/>
        </w:rPr>
        <w:t>aństwa-</w:t>
      </w:r>
      <w:r>
        <w:rPr>
          <w:bCs/>
          <w:sz w:val="24"/>
          <w:szCs w:val="24"/>
        </w:rPr>
        <w:t>s</w:t>
      </w:r>
      <w:r w:rsidRPr="00A42E41">
        <w:rPr>
          <w:bCs/>
          <w:sz w:val="24"/>
          <w:szCs w:val="24"/>
        </w:rPr>
        <w:t xml:space="preserve">trony do podjęcia wszelkich odpowiednich środków w celu ochrony dzieci przed wszelkimi formami przemocy, </w:t>
      </w:r>
      <w:r w:rsidRPr="001E13DA">
        <w:rPr>
          <w:bCs/>
          <w:sz w:val="24"/>
          <w:szCs w:val="24"/>
        </w:rPr>
        <w:t>wykorzystywania i wyzysku,</w:t>
      </w:r>
      <w:r w:rsidRPr="00A42E41">
        <w:rPr>
          <w:bCs/>
          <w:sz w:val="24"/>
          <w:szCs w:val="24"/>
        </w:rPr>
        <w:t xml:space="preserve"> natomiast art. 34</w:t>
      </w:r>
      <w:r w:rsidRPr="00A42E41">
        <w:rPr>
          <w:sz w:val="24"/>
          <w:szCs w:val="24"/>
        </w:rPr>
        <w:t xml:space="preserve"> </w:t>
      </w:r>
      <w:r w:rsidRPr="00A42E41">
        <w:rPr>
          <w:bCs/>
          <w:sz w:val="24"/>
          <w:szCs w:val="24"/>
        </w:rPr>
        <w:t xml:space="preserve">Konwencji dotyczy seksualnego wykorzystywania i niegodziwego traktowania w celach seksualnych, a art. 35 obejmuje handel dziećmi. Art. 38 Konwencji skupia się na </w:t>
      </w:r>
      <w:r>
        <w:rPr>
          <w:bCs/>
          <w:sz w:val="24"/>
          <w:szCs w:val="24"/>
        </w:rPr>
        <w:t>p</w:t>
      </w:r>
      <w:r w:rsidRPr="00A42E41">
        <w:rPr>
          <w:bCs/>
          <w:sz w:val="24"/>
          <w:szCs w:val="24"/>
        </w:rPr>
        <w:t>aństwach-</w:t>
      </w:r>
      <w:r>
        <w:rPr>
          <w:bCs/>
          <w:sz w:val="24"/>
          <w:szCs w:val="24"/>
        </w:rPr>
        <w:t>s</w:t>
      </w:r>
      <w:r w:rsidRPr="00A42E41">
        <w:rPr>
          <w:bCs/>
          <w:sz w:val="24"/>
          <w:szCs w:val="24"/>
        </w:rPr>
        <w:t xml:space="preserve">tronach, które zobowiązują się respektować i </w:t>
      </w:r>
      <w:r>
        <w:rPr>
          <w:bCs/>
          <w:sz w:val="24"/>
          <w:szCs w:val="24"/>
        </w:rPr>
        <w:t>zapewnić</w:t>
      </w:r>
      <w:r w:rsidRPr="00A42E41">
        <w:rPr>
          <w:bCs/>
          <w:sz w:val="24"/>
          <w:szCs w:val="24"/>
        </w:rPr>
        <w:t xml:space="preserve"> respektowanie norm międzynarodowego prawa humanitarnego mających do nich zastosowanie w przypadku konfliktu zbrojnego i odnoszących się do dzieci. Konwencję uzupełnia Protokół Fakultatywny sprawie handlu dziećmi, dziecięcej prostytucji i dziecięcej pornografii, który szczegółowo określa przestępstwa związane z handlem dziećmi i ich wykorzystywaniem seksualnym. Art. 3 Protokołu wymaga, aby </w:t>
      </w:r>
      <w:r>
        <w:rPr>
          <w:bCs/>
          <w:sz w:val="24"/>
          <w:szCs w:val="24"/>
        </w:rPr>
        <w:t>p</w:t>
      </w:r>
      <w:r w:rsidRPr="00A42E41">
        <w:rPr>
          <w:bCs/>
          <w:sz w:val="24"/>
          <w:szCs w:val="24"/>
        </w:rPr>
        <w:t>aństwa-</w:t>
      </w:r>
      <w:r>
        <w:rPr>
          <w:bCs/>
          <w:sz w:val="24"/>
          <w:szCs w:val="24"/>
        </w:rPr>
        <w:t>s</w:t>
      </w:r>
      <w:r w:rsidRPr="00A42E41">
        <w:rPr>
          <w:bCs/>
          <w:sz w:val="24"/>
          <w:szCs w:val="24"/>
        </w:rPr>
        <w:t>trony ustanowiły</w:t>
      </w:r>
      <w:r w:rsidRPr="00A42E41">
        <w:rPr>
          <w:sz w:val="24"/>
          <w:szCs w:val="24"/>
        </w:rPr>
        <w:t xml:space="preserve"> </w:t>
      </w:r>
      <w:r w:rsidRPr="00A42E41">
        <w:rPr>
          <w:bCs/>
          <w:sz w:val="24"/>
          <w:szCs w:val="24"/>
        </w:rPr>
        <w:t>w stosownych przypadkach odpowiedzialność osób prawnych za te przestępstwa, natomiast art. 4</w:t>
      </w:r>
      <w:r w:rsidRPr="00A42E41">
        <w:rPr>
          <w:sz w:val="24"/>
          <w:szCs w:val="24"/>
        </w:rPr>
        <w:t xml:space="preserve"> </w:t>
      </w:r>
      <w:r w:rsidRPr="00A42E41">
        <w:rPr>
          <w:bCs/>
          <w:sz w:val="24"/>
          <w:szCs w:val="24"/>
        </w:rPr>
        <w:t xml:space="preserve">Protokołu wzywa </w:t>
      </w:r>
      <w:r>
        <w:rPr>
          <w:bCs/>
          <w:sz w:val="24"/>
          <w:szCs w:val="24"/>
        </w:rPr>
        <w:t>p</w:t>
      </w:r>
      <w:r w:rsidRPr="00A42E41">
        <w:rPr>
          <w:bCs/>
          <w:sz w:val="24"/>
          <w:szCs w:val="24"/>
        </w:rPr>
        <w:t>aństwa-</w:t>
      </w:r>
      <w:r>
        <w:rPr>
          <w:bCs/>
          <w:sz w:val="24"/>
          <w:szCs w:val="24"/>
        </w:rPr>
        <w:t>s</w:t>
      </w:r>
      <w:r w:rsidRPr="00A42E41">
        <w:rPr>
          <w:bCs/>
          <w:sz w:val="24"/>
          <w:szCs w:val="24"/>
        </w:rPr>
        <w:t>trony do rozszerzenia jurysdykcji eksterytorialnej w przypadku tych przestępstw, a art. 8 Protokołu przewiduje odszkodowanie dla pokrzywdzonych dzieci. Konwencja jest dodatkowo uzupełniona przez Protokół Fakultatywny w sprawie angażowania dzieci w konflikty zbrojne.</w:t>
      </w:r>
    </w:p>
    <w:p w:rsidR="00591EC1" w:rsidRPr="00A42E41" w:rsidRDefault="00591EC1" w:rsidP="00E7396B">
      <w:pPr>
        <w:pStyle w:val="Akapitzlist"/>
        <w:numPr>
          <w:ilvl w:val="0"/>
          <w:numId w:val="28"/>
        </w:numPr>
        <w:spacing w:before="120" w:after="120" w:line="240" w:lineRule="auto"/>
        <w:contextualSpacing w:val="0"/>
        <w:jc w:val="both"/>
        <w:rPr>
          <w:b/>
          <w:bCs/>
          <w:sz w:val="24"/>
          <w:szCs w:val="24"/>
        </w:rPr>
      </w:pPr>
      <w:r w:rsidRPr="00A42E41">
        <w:rPr>
          <w:bCs/>
          <w:sz w:val="24"/>
          <w:szCs w:val="24"/>
        </w:rPr>
        <w:t>Konwencja ONZ przeciwko międzynarodowej przestępczości zorganizowanej, która weszła w życie w 2003 r., jest głównym instrumentem międzynarodowym w zwalczaniu międzynarodowej przestępczości zorganizowanej. Zobowiązuje państwa do kryminalizacji pewnych działań, takich jak udział w zorganizowanej grupie przestępczej, pranie pieniędzy pochodzących z przestępstw, pranie pieniędzy i korupcja. Art. 10 odnosi się do odpowiedzialności osób prawnych. Konwencję dodatkowo uzupełniaj</w:t>
      </w:r>
      <w:r>
        <w:rPr>
          <w:bCs/>
          <w:sz w:val="24"/>
          <w:szCs w:val="24"/>
        </w:rPr>
        <w:t>ą</w:t>
      </w:r>
      <w:r w:rsidRPr="00A42E41">
        <w:rPr>
          <w:bCs/>
          <w:sz w:val="24"/>
          <w:szCs w:val="24"/>
        </w:rPr>
        <w:t xml:space="preserve"> trzy Protokoły, ukierunkowane na poszczególne obszary i przejawy przestępczości zorganizowanej: Protokół o zapobieganiu, zwalczaniu oraz karaniu za</w:t>
      </w:r>
      <w:r>
        <w:rPr>
          <w:bCs/>
          <w:sz w:val="24"/>
          <w:szCs w:val="24"/>
        </w:rPr>
        <w:t xml:space="preserve"> handel ludźmi, w szczególności</w:t>
      </w:r>
      <w:r w:rsidRPr="00A42E41">
        <w:rPr>
          <w:bCs/>
          <w:sz w:val="24"/>
          <w:szCs w:val="24"/>
        </w:rPr>
        <w:t xml:space="preserve"> kobietami i dziećmi; Protokół przeciwko przemytowi migrantów drogą lądową, morską i powietrzną; oraz Protokół przeciwko nielegalnej produkcji i nielegalnemu handlowi bronią palną, jej częściami i elementami </w:t>
      </w:r>
      <w:r>
        <w:rPr>
          <w:bCs/>
          <w:sz w:val="24"/>
          <w:szCs w:val="24"/>
        </w:rPr>
        <w:t>oraz</w:t>
      </w:r>
      <w:r w:rsidRPr="00A42E41">
        <w:rPr>
          <w:bCs/>
          <w:sz w:val="24"/>
          <w:szCs w:val="24"/>
        </w:rPr>
        <w:t xml:space="preserve"> amunicją do niej.</w:t>
      </w:r>
    </w:p>
    <w:p w:rsidR="00ED1D8D" w:rsidRPr="00A42E41" w:rsidRDefault="00ED1D8D" w:rsidP="00E7396B">
      <w:pPr>
        <w:pStyle w:val="Akapitzlist"/>
        <w:spacing w:before="120" w:after="120" w:line="240" w:lineRule="auto"/>
        <w:ind w:left="1789"/>
        <w:contextualSpacing w:val="0"/>
        <w:jc w:val="both"/>
        <w:rPr>
          <w:b/>
          <w:bCs/>
          <w:sz w:val="24"/>
          <w:szCs w:val="24"/>
        </w:rPr>
      </w:pPr>
    </w:p>
    <w:p w:rsidR="00591EC1" w:rsidRPr="00A42E41" w:rsidRDefault="00591EC1" w:rsidP="00E7396B">
      <w:pPr>
        <w:spacing w:before="120" w:after="120" w:line="240" w:lineRule="auto"/>
        <w:ind w:left="567"/>
        <w:jc w:val="both"/>
        <w:rPr>
          <w:bCs/>
          <w:i/>
          <w:sz w:val="24"/>
          <w:szCs w:val="24"/>
        </w:rPr>
      </w:pPr>
      <w:r w:rsidRPr="00A42E41">
        <w:rPr>
          <w:bCs/>
          <w:i/>
          <w:sz w:val="24"/>
          <w:szCs w:val="24"/>
        </w:rPr>
        <w:t>Inne poważne przestępstwa przeciwko prawom człowieka związane z biznesem</w:t>
      </w:r>
    </w:p>
    <w:p w:rsidR="00591EC1" w:rsidRPr="00A42E41" w:rsidRDefault="00591EC1" w:rsidP="00E7396B">
      <w:pPr>
        <w:pStyle w:val="Akapitzlist"/>
        <w:numPr>
          <w:ilvl w:val="0"/>
          <w:numId w:val="19"/>
        </w:numPr>
        <w:spacing w:before="120" w:after="120" w:line="240" w:lineRule="auto"/>
        <w:ind w:left="567"/>
        <w:contextualSpacing w:val="0"/>
        <w:jc w:val="both"/>
        <w:rPr>
          <w:bCs/>
          <w:sz w:val="24"/>
          <w:szCs w:val="24"/>
        </w:rPr>
      </w:pPr>
      <w:r w:rsidRPr="00A42E41">
        <w:rPr>
          <w:bCs/>
          <w:sz w:val="24"/>
          <w:szCs w:val="24"/>
        </w:rPr>
        <w:t xml:space="preserve">Określenie </w:t>
      </w:r>
      <w:r>
        <w:rPr>
          <w:bCs/>
          <w:sz w:val="24"/>
          <w:szCs w:val="24"/>
        </w:rPr>
        <w:t>„</w:t>
      </w:r>
      <w:r w:rsidRPr="00A42E41">
        <w:rPr>
          <w:bCs/>
          <w:sz w:val="24"/>
          <w:szCs w:val="24"/>
        </w:rPr>
        <w:t>inne przestępstwa stanowiące poważne naruszenia praw człowieka z udziałem przedsiębiorstw</w:t>
      </w:r>
      <w:r>
        <w:rPr>
          <w:bCs/>
          <w:sz w:val="24"/>
          <w:szCs w:val="24"/>
        </w:rPr>
        <w:t>”</w:t>
      </w:r>
      <w:r w:rsidRPr="00A42E41">
        <w:rPr>
          <w:bCs/>
          <w:sz w:val="24"/>
          <w:szCs w:val="24"/>
        </w:rPr>
        <w:t xml:space="preserve"> odnosi się do naruszeń, które nie są ani przestępstwa</w:t>
      </w:r>
      <w:r>
        <w:rPr>
          <w:bCs/>
          <w:sz w:val="24"/>
          <w:szCs w:val="24"/>
        </w:rPr>
        <w:t>mi</w:t>
      </w:r>
      <w:r w:rsidRPr="00A42E41">
        <w:rPr>
          <w:bCs/>
          <w:sz w:val="24"/>
          <w:szCs w:val="24"/>
        </w:rPr>
        <w:t xml:space="preserve"> w świetle prawa międzynarodowego (zgodnie z definicją zawartą w paragrafie 70 niniejszego Memorandum), ani przestępstwami wynikającymi z traktatów. Przykład mogą stanowić niektóre przymusowe eksmisje lub </w:t>
      </w:r>
      <w:r>
        <w:rPr>
          <w:bCs/>
          <w:sz w:val="24"/>
          <w:szCs w:val="24"/>
        </w:rPr>
        <w:t>zabójstwo</w:t>
      </w:r>
      <w:r w:rsidRPr="00A42E41">
        <w:rPr>
          <w:bCs/>
          <w:sz w:val="24"/>
          <w:szCs w:val="24"/>
        </w:rPr>
        <w:t>, jeśli nie zostało popełnione w ramach rozległego lub systematycznego ataku skierowanego przeciwko ludności cywilnej (a tym samym nie spełnia definicji zbrodni przeciwko ludzkości w rozumieniu art. 7 Statutu Międzynarodowego Trybunału Karnego).</w:t>
      </w:r>
    </w:p>
    <w:p w:rsidR="00591EC1" w:rsidRDefault="00591EC1" w:rsidP="00E7396B">
      <w:pPr>
        <w:pStyle w:val="Akapitzlist"/>
        <w:spacing w:before="120" w:after="120" w:line="240" w:lineRule="auto"/>
        <w:ind w:left="1069"/>
        <w:contextualSpacing w:val="0"/>
        <w:jc w:val="both"/>
        <w:rPr>
          <w:bCs/>
          <w:sz w:val="24"/>
          <w:szCs w:val="24"/>
        </w:rPr>
      </w:pPr>
    </w:p>
    <w:p w:rsidR="00A52948" w:rsidRDefault="00A52948" w:rsidP="00E7396B">
      <w:pPr>
        <w:pStyle w:val="Akapitzlist"/>
        <w:spacing w:before="120" w:after="120" w:line="240" w:lineRule="auto"/>
        <w:ind w:left="1069"/>
        <w:contextualSpacing w:val="0"/>
        <w:jc w:val="both"/>
        <w:rPr>
          <w:bCs/>
          <w:sz w:val="24"/>
          <w:szCs w:val="24"/>
        </w:rPr>
      </w:pPr>
    </w:p>
    <w:p w:rsidR="00591EC1" w:rsidRPr="00A42E41" w:rsidRDefault="00591EC1" w:rsidP="00E7396B">
      <w:pPr>
        <w:spacing w:before="120" w:after="120" w:line="240" w:lineRule="auto"/>
        <w:ind w:left="567"/>
        <w:jc w:val="both"/>
        <w:rPr>
          <w:bCs/>
          <w:i/>
          <w:sz w:val="24"/>
          <w:szCs w:val="24"/>
        </w:rPr>
      </w:pPr>
      <w:r w:rsidRPr="00A42E41">
        <w:rPr>
          <w:bCs/>
          <w:i/>
          <w:sz w:val="24"/>
          <w:szCs w:val="24"/>
        </w:rPr>
        <w:lastRenderedPageBreak/>
        <w:t>Odpowiedzialność osób prawnych i indywidualna</w:t>
      </w:r>
    </w:p>
    <w:p w:rsidR="00591EC1" w:rsidRPr="00A42E41" w:rsidRDefault="00591EC1" w:rsidP="00E7396B">
      <w:pPr>
        <w:pStyle w:val="Akapitzlist"/>
        <w:numPr>
          <w:ilvl w:val="0"/>
          <w:numId w:val="19"/>
        </w:numPr>
        <w:spacing w:before="120" w:after="120" w:line="240" w:lineRule="auto"/>
        <w:ind w:left="567"/>
        <w:contextualSpacing w:val="0"/>
        <w:jc w:val="both"/>
        <w:rPr>
          <w:bCs/>
          <w:sz w:val="24"/>
          <w:szCs w:val="24"/>
        </w:rPr>
      </w:pPr>
      <w:r w:rsidRPr="001A226A">
        <w:rPr>
          <w:bCs/>
          <w:sz w:val="24"/>
          <w:szCs w:val="24"/>
        </w:rPr>
        <w:t>Paragraf</w:t>
      </w:r>
      <w:r w:rsidRPr="00EB4027">
        <w:rPr>
          <w:bCs/>
          <w:sz w:val="24"/>
          <w:szCs w:val="24"/>
          <w:u w:val="single"/>
        </w:rPr>
        <w:t xml:space="preserve"> 45 Rekomendacji</w:t>
      </w:r>
      <w:r w:rsidRPr="00A42E41">
        <w:rPr>
          <w:bCs/>
          <w:sz w:val="24"/>
          <w:szCs w:val="24"/>
        </w:rPr>
        <w:t xml:space="preserve"> wyjaśnia, że odpowiedzialność osób prawnych nie wyklucza indywidualnej odpowiedzialności osoby fizycznej, która może być sprawcą, inicjatorem lub współsprawcą popełnionego przestępstwa. W określonym przypadku odpowiedzialność może zaistnieć na kilku poziomach jednocześnie </w:t>
      </w:r>
      <w:r>
        <w:rPr>
          <w:bCs/>
          <w:sz w:val="24"/>
          <w:szCs w:val="24"/>
        </w:rPr>
        <w:t>–</w:t>
      </w:r>
      <w:r w:rsidRPr="00A42E41">
        <w:rPr>
          <w:bCs/>
          <w:sz w:val="24"/>
          <w:szCs w:val="24"/>
        </w:rPr>
        <w:t xml:space="preserve"> na przykład odpowiedzialność jednego z organów osoby prawnej, odpowiedzialność osoby prawnej jako całości i indywidualn</w:t>
      </w:r>
      <w:r>
        <w:rPr>
          <w:bCs/>
          <w:sz w:val="24"/>
          <w:szCs w:val="24"/>
        </w:rPr>
        <w:t>a</w:t>
      </w:r>
      <w:r w:rsidRPr="00A42E41">
        <w:rPr>
          <w:bCs/>
          <w:sz w:val="24"/>
          <w:szCs w:val="24"/>
        </w:rPr>
        <w:t xml:space="preserve"> odpowiedzialnoś</w:t>
      </w:r>
      <w:r>
        <w:rPr>
          <w:bCs/>
          <w:sz w:val="24"/>
          <w:szCs w:val="24"/>
        </w:rPr>
        <w:t>ć</w:t>
      </w:r>
      <w:r w:rsidRPr="00A42E41">
        <w:rPr>
          <w:bCs/>
          <w:sz w:val="24"/>
          <w:szCs w:val="24"/>
        </w:rPr>
        <w:t xml:space="preserve"> przedstawiciela przedsiębiorstwa w związku z pierwszą lub drugą formą odpowiedzialności. Należy zauważyć, że odpowiedzialność osoby prawnej powinna również </w:t>
      </w:r>
      <w:r>
        <w:rPr>
          <w:bCs/>
          <w:sz w:val="24"/>
          <w:szCs w:val="24"/>
        </w:rPr>
        <w:t xml:space="preserve">obejmować </w:t>
      </w:r>
      <w:r w:rsidRPr="00A42E41">
        <w:rPr>
          <w:bCs/>
          <w:sz w:val="24"/>
          <w:szCs w:val="24"/>
        </w:rPr>
        <w:t>odpowiedzialność za brak nadzoru i kontroli, który umożliwił popełnienie przestępstwa przez osobę działającą z upoważnienia osoby prawnej.</w:t>
      </w:r>
      <w:r w:rsidRPr="00A42E41">
        <w:rPr>
          <w:rStyle w:val="Odwoanieprzypisukocowego"/>
          <w:bCs/>
          <w:sz w:val="24"/>
          <w:szCs w:val="24"/>
        </w:rPr>
        <w:endnoteReference w:id="33"/>
      </w:r>
      <w:r w:rsidRPr="00A42E41">
        <w:rPr>
          <w:bCs/>
          <w:sz w:val="24"/>
          <w:szCs w:val="24"/>
        </w:rPr>
        <w:t xml:space="preserve"> </w:t>
      </w:r>
    </w:p>
    <w:p w:rsidR="00591EC1" w:rsidRPr="00A42E41" w:rsidRDefault="00591EC1" w:rsidP="00E7396B">
      <w:pPr>
        <w:pStyle w:val="Akapitzlist"/>
        <w:spacing w:before="120" w:after="120" w:line="240" w:lineRule="auto"/>
        <w:ind w:left="1069"/>
        <w:contextualSpacing w:val="0"/>
        <w:jc w:val="both"/>
        <w:rPr>
          <w:bCs/>
          <w:sz w:val="24"/>
          <w:szCs w:val="24"/>
        </w:rPr>
      </w:pPr>
    </w:p>
    <w:p w:rsidR="00591EC1" w:rsidRPr="00A42E41" w:rsidRDefault="00591EC1" w:rsidP="00E7396B">
      <w:pPr>
        <w:spacing w:before="120" w:after="120" w:line="240" w:lineRule="auto"/>
        <w:ind w:left="567"/>
        <w:jc w:val="both"/>
        <w:rPr>
          <w:bCs/>
          <w:i/>
          <w:sz w:val="24"/>
          <w:szCs w:val="24"/>
        </w:rPr>
      </w:pPr>
      <w:r w:rsidRPr="00A42E41">
        <w:rPr>
          <w:bCs/>
          <w:i/>
          <w:sz w:val="24"/>
          <w:szCs w:val="24"/>
        </w:rPr>
        <w:t xml:space="preserve">Skuteczne </w:t>
      </w:r>
      <w:r>
        <w:rPr>
          <w:bCs/>
          <w:i/>
          <w:sz w:val="24"/>
          <w:szCs w:val="24"/>
        </w:rPr>
        <w:t>postępowanie przygotowawcze</w:t>
      </w:r>
      <w:r w:rsidRPr="00A42E41">
        <w:rPr>
          <w:bCs/>
          <w:i/>
          <w:sz w:val="24"/>
          <w:szCs w:val="24"/>
        </w:rPr>
        <w:t xml:space="preserve"> w świetle Konwencji o ochronie praw człowieka i podstawowych wolności</w:t>
      </w:r>
    </w:p>
    <w:p w:rsidR="00591EC1" w:rsidRPr="00A42E41" w:rsidRDefault="00591EC1" w:rsidP="00E7396B">
      <w:pPr>
        <w:pStyle w:val="Akapitzlist"/>
        <w:numPr>
          <w:ilvl w:val="0"/>
          <w:numId w:val="19"/>
        </w:numPr>
        <w:spacing w:before="120" w:after="120" w:line="240" w:lineRule="auto"/>
        <w:ind w:left="567"/>
        <w:contextualSpacing w:val="0"/>
        <w:jc w:val="both"/>
        <w:rPr>
          <w:bCs/>
          <w:sz w:val="24"/>
          <w:szCs w:val="24"/>
        </w:rPr>
      </w:pPr>
      <w:r w:rsidRPr="00EB4027">
        <w:rPr>
          <w:bCs/>
          <w:sz w:val="24"/>
          <w:szCs w:val="24"/>
          <w:u w:val="single"/>
        </w:rPr>
        <w:t>Paragraf 46 Rekomendacji</w:t>
      </w:r>
      <w:r w:rsidRPr="00A42E41">
        <w:rPr>
          <w:bCs/>
          <w:sz w:val="24"/>
          <w:szCs w:val="24"/>
        </w:rPr>
        <w:t xml:space="preserve"> przypomina, że skuteczne </w:t>
      </w:r>
      <w:r>
        <w:rPr>
          <w:bCs/>
          <w:sz w:val="24"/>
          <w:szCs w:val="24"/>
        </w:rPr>
        <w:t>postępowanie przygotowawcze</w:t>
      </w:r>
      <w:r w:rsidRPr="00A42E41">
        <w:rPr>
          <w:bCs/>
          <w:sz w:val="24"/>
          <w:szCs w:val="24"/>
        </w:rPr>
        <w:t xml:space="preserve"> musi spełniać określone kryteria, ustalone w orzecznictwie Europejskiego Trybunału Praw Człowieka. Mają one zastosowanie niezależnie od tego, czy pozwany jest osobą prawną, </w:t>
      </w:r>
      <w:r>
        <w:rPr>
          <w:bCs/>
          <w:sz w:val="24"/>
          <w:szCs w:val="24"/>
        </w:rPr>
        <w:t>czy</w:t>
      </w:r>
      <w:r w:rsidRPr="00A42E41">
        <w:rPr>
          <w:bCs/>
          <w:sz w:val="24"/>
          <w:szCs w:val="24"/>
        </w:rPr>
        <w:t xml:space="preserve"> osobą fizyczną reprezentująca przedsiębiorstwo. Kryteria te są następujące: </w:t>
      </w:r>
      <w:r>
        <w:rPr>
          <w:bCs/>
          <w:sz w:val="24"/>
          <w:szCs w:val="24"/>
        </w:rPr>
        <w:t>„</w:t>
      </w:r>
      <w:r w:rsidRPr="00A42E41">
        <w:rPr>
          <w:bCs/>
          <w:sz w:val="24"/>
          <w:szCs w:val="24"/>
        </w:rPr>
        <w:t xml:space="preserve">adekwatność", </w:t>
      </w:r>
      <w:r>
        <w:rPr>
          <w:bCs/>
          <w:sz w:val="24"/>
          <w:szCs w:val="24"/>
        </w:rPr>
        <w:t>„</w:t>
      </w:r>
      <w:r w:rsidRPr="00A42E41">
        <w:rPr>
          <w:bCs/>
          <w:sz w:val="24"/>
          <w:szCs w:val="24"/>
        </w:rPr>
        <w:t xml:space="preserve">staranność", </w:t>
      </w:r>
      <w:r>
        <w:rPr>
          <w:bCs/>
          <w:sz w:val="24"/>
          <w:szCs w:val="24"/>
        </w:rPr>
        <w:t>„</w:t>
      </w:r>
      <w:r w:rsidRPr="00A42E41">
        <w:rPr>
          <w:bCs/>
          <w:sz w:val="24"/>
          <w:szCs w:val="24"/>
        </w:rPr>
        <w:t xml:space="preserve">bezstronność", </w:t>
      </w:r>
      <w:r>
        <w:rPr>
          <w:bCs/>
          <w:sz w:val="24"/>
          <w:szCs w:val="24"/>
        </w:rPr>
        <w:t>„</w:t>
      </w:r>
      <w:r w:rsidRPr="00A42E41">
        <w:rPr>
          <w:bCs/>
          <w:sz w:val="24"/>
          <w:szCs w:val="24"/>
        </w:rPr>
        <w:t xml:space="preserve">niezależność", </w:t>
      </w:r>
      <w:r>
        <w:rPr>
          <w:bCs/>
          <w:sz w:val="24"/>
          <w:szCs w:val="24"/>
        </w:rPr>
        <w:t>„sprawn</w:t>
      </w:r>
      <w:r w:rsidRPr="00A42E41">
        <w:rPr>
          <w:bCs/>
          <w:sz w:val="24"/>
          <w:szCs w:val="24"/>
        </w:rPr>
        <w:t xml:space="preserve">ość" i </w:t>
      </w:r>
      <w:r>
        <w:rPr>
          <w:bCs/>
          <w:sz w:val="24"/>
          <w:szCs w:val="24"/>
        </w:rPr>
        <w:t>„</w:t>
      </w:r>
      <w:r w:rsidRPr="00A42E41">
        <w:rPr>
          <w:bCs/>
          <w:sz w:val="24"/>
          <w:szCs w:val="24"/>
        </w:rPr>
        <w:t>kontrola publiczna". W związku z art. 2 Konwencji (prawo do życia) Trybunał dokonał wykładni tych kryteriów w sposób następujący.</w:t>
      </w:r>
    </w:p>
    <w:p w:rsidR="00591EC1" w:rsidRPr="00A42E41" w:rsidRDefault="00591EC1" w:rsidP="00E7396B">
      <w:pPr>
        <w:pStyle w:val="Akapitzlist"/>
        <w:numPr>
          <w:ilvl w:val="0"/>
          <w:numId w:val="29"/>
        </w:numPr>
        <w:spacing w:before="120" w:after="120" w:line="240" w:lineRule="auto"/>
        <w:contextualSpacing w:val="0"/>
        <w:jc w:val="both"/>
        <w:rPr>
          <w:bCs/>
          <w:i/>
          <w:sz w:val="24"/>
          <w:szCs w:val="24"/>
        </w:rPr>
      </w:pPr>
      <w:r w:rsidRPr="00A42E41">
        <w:rPr>
          <w:bCs/>
          <w:i/>
          <w:sz w:val="24"/>
          <w:szCs w:val="24"/>
        </w:rPr>
        <w:t>Adekwatność</w:t>
      </w:r>
    </w:p>
    <w:p w:rsidR="00591EC1" w:rsidRPr="00A42E41" w:rsidRDefault="00591EC1" w:rsidP="00E7396B">
      <w:pPr>
        <w:pStyle w:val="Akapitzlist"/>
        <w:spacing w:before="120" w:after="120" w:line="240" w:lineRule="auto"/>
        <w:ind w:left="1068"/>
        <w:contextualSpacing w:val="0"/>
        <w:jc w:val="both"/>
        <w:rPr>
          <w:bCs/>
          <w:sz w:val="24"/>
          <w:szCs w:val="24"/>
        </w:rPr>
      </w:pPr>
      <w:r w:rsidRPr="003E6902">
        <w:rPr>
          <w:bCs/>
          <w:sz w:val="24"/>
          <w:szCs w:val="24"/>
        </w:rPr>
        <w:t>„</w:t>
      </w:r>
      <w:r>
        <w:rPr>
          <w:bCs/>
          <w:sz w:val="24"/>
          <w:szCs w:val="24"/>
        </w:rPr>
        <w:t xml:space="preserve">Postępowanie przygotowawcze </w:t>
      </w:r>
      <w:r w:rsidRPr="005C2141">
        <w:rPr>
          <w:bCs/>
          <w:sz w:val="24"/>
          <w:szCs w:val="24"/>
        </w:rPr>
        <w:t>w sprawie śmierci, a</w:t>
      </w:r>
      <w:r w:rsidRPr="003E6902">
        <w:rPr>
          <w:bCs/>
          <w:sz w:val="24"/>
          <w:szCs w:val="24"/>
        </w:rPr>
        <w:t>by było</w:t>
      </w:r>
      <w:r w:rsidRPr="005C2141">
        <w:rPr>
          <w:bCs/>
          <w:sz w:val="24"/>
          <w:szCs w:val="24"/>
        </w:rPr>
        <w:t xml:space="preserve"> uznane za</w:t>
      </w:r>
      <w:r w:rsidRPr="003E6902">
        <w:rPr>
          <w:bCs/>
          <w:sz w:val="24"/>
          <w:szCs w:val="24"/>
        </w:rPr>
        <w:t xml:space="preserve"> </w:t>
      </w:r>
      <w:r>
        <w:rPr>
          <w:bCs/>
          <w:sz w:val="24"/>
          <w:szCs w:val="24"/>
        </w:rPr>
        <w:t>„</w:t>
      </w:r>
      <w:r w:rsidRPr="003E6902">
        <w:rPr>
          <w:bCs/>
          <w:sz w:val="24"/>
          <w:szCs w:val="24"/>
        </w:rPr>
        <w:t>skuteczne</w:t>
      </w:r>
      <w:r>
        <w:rPr>
          <w:bCs/>
          <w:sz w:val="24"/>
          <w:szCs w:val="24"/>
        </w:rPr>
        <w:t>”</w:t>
      </w:r>
      <w:r w:rsidRPr="005C2141">
        <w:rPr>
          <w:bCs/>
          <w:sz w:val="24"/>
          <w:szCs w:val="24"/>
        </w:rPr>
        <w:t xml:space="preserve">, </w:t>
      </w:r>
      <w:r w:rsidRPr="003E6902">
        <w:rPr>
          <w:bCs/>
          <w:sz w:val="24"/>
          <w:szCs w:val="24"/>
        </w:rPr>
        <w:t>musi być przede wszystkim adekwatne,</w:t>
      </w:r>
      <w:r w:rsidRPr="005C2141">
        <w:rPr>
          <w:bCs/>
          <w:sz w:val="24"/>
          <w:szCs w:val="24"/>
        </w:rPr>
        <w:t xml:space="preserve"> przy czym sformułowanie to</w:t>
      </w:r>
      <w:r w:rsidRPr="005C2141" w:rsidDel="0088640F">
        <w:rPr>
          <w:bCs/>
          <w:sz w:val="24"/>
          <w:szCs w:val="24"/>
        </w:rPr>
        <w:t xml:space="preserve"> </w:t>
      </w:r>
      <w:r>
        <w:rPr>
          <w:bCs/>
          <w:sz w:val="24"/>
          <w:szCs w:val="24"/>
        </w:rPr>
        <w:t>powinno</w:t>
      </w:r>
      <w:r w:rsidRPr="005C2141">
        <w:rPr>
          <w:bCs/>
          <w:sz w:val="24"/>
          <w:szCs w:val="24"/>
        </w:rPr>
        <w:t xml:space="preserve"> być rozumiane w kontekście art. 2 Konwencji</w:t>
      </w:r>
      <w:r w:rsidRPr="003E6902">
        <w:rPr>
          <w:bCs/>
          <w:sz w:val="24"/>
          <w:szCs w:val="24"/>
        </w:rPr>
        <w:t>, który wiąże się z odpowiedzialnością Umawiającej się Strony na podstawie tego artykułu. Oznacza to, że musi ono być w stanie doprowadzić do zidentyfikowania</w:t>
      </w:r>
      <w:r w:rsidRPr="00A42E41">
        <w:rPr>
          <w:bCs/>
          <w:sz w:val="24"/>
          <w:szCs w:val="24"/>
        </w:rPr>
        <w:t xml:space="preserve"> i ukarania winnych. Nie jest to </w:t>
      </w:r>
      <w:r>
        <w:rPr>
          <w:bCs/>
          <w:sz w:val="24"/>
          <w:szCs w:val="24"/>
        </w:rPr>
        <w:t xml:space="preserve">jednak </w:t>
      </w:r>
      <w:r w:rsidRPr="00A42E41">
        <w:rPr>
          <w:bCs/>
          <w:sz w:val="24"/>
          <w:szCs w:val="24"/>
        </w:rPr>
        <w:t>zobowiązanie</w:t>
      </w:r>
      <w:r>
        <w:rPr>
          <w:bCs/>
          <w:sz w:val="24"/>
          <w:szCs w:val="24"/>
        </w:rPr>
        <w:t xml:space="preserve"> do</w:t>
      </w:r>
      <w:r w:rsidRPr="00A42E41">
        <w:rPr>
          <w:bCs/>
          <w:sz w:val="24"/>
          <w:szCs w:val="24"/>
        </w:rPr>
        <w:t xml:space="preserve"> rezultatu, </w:t>
      </w:r>
      <w:r>
        <w:rPr>
          <w:bCs/>
          <w:sz w:val="24"/>
          <w:szCs w:val="24"/>
        </w:rPr>
        <w:t>lecz do</w:t>
      </w:r>
      <w:r w:rsidRPr="00A42E41">
        <w:rPr>
          <w:bCs/>
          <w:sz w:val="24"/>
          <w:szCs w:val="24"/>
        </w:rPr>
        <w:t xml:space="preserve"> podjęcia odpowiednich działań. Władze muszą podjąć stosowne środki będące w ich dyspozycji w celu zabezpieczenia dowodów dotyczących zdarzenia. Wszelkie braki w </w:t>
      </w:r>
      <w:r>
        <w:rPr>
          <w:bCs/>
          <w:sz w:val="24"/>
          <w:szCs w:val="24"/>
        </w:rPr>
        <w:t>postępowaniu przygotowawczym</w:t>
      </w:r>
      <w:r w:rsidRPr="00A42E41">
        <w:rPr>
          <w:bCs/>
          <w:sz w:val="24"/>
          <w:szCs w:val="24"/>
        </w:rPr>
        <w:t>, które obniżają jego zdolność do identyfikacji sprawcy lub sprawców</w:t>
      </w:r>
      <w:r>
        <w:rPr>
          <w:bCs/>
          <w:sz w:val="24"/>
          <w:szCs w:val="24"/>
        </w:rPr>
        <w:t>,</w:t>
      </w:r>
      <w:r w:rsidRPr="00A42E41">
        <w:rPr>
          <w:bCs/>
          <w:sz w:val="24"/>
          <w:szCs w:val="24"/>
        </w:rPr>
        <w:t xml:space="preserve"> będą zwiększały ryzyko naruszenia tego standardu (por. </w:t>
      </w:r>
      <w:proofErr w:type="spellStart"/>
      <w:r w:rsidRPr="00A42E41">
        <w:rPr>
          <w:bCs/>
          <w:i/>
          <w:sz w:val="24"/>
          <w:szCs w:val="24"/>
        </w:rPr>
        <w:t>Tahsin</w:t>
      </w:r>
      <w:proofErr w:type="spellEnd"/>
      <w:r w:rsidRPr="00A42E41">
        <w:rPr>
          <w:bCs/>
          <w:i/>
          <w:sz w:val="24"/>
          <w:szCs w:val="24"/>
        </w:rPr>
        <w:t xml:space="preserve"> </w:t>
      </w:r>
      <w:proofErr w:type="spellStart"/>
      <w:r w:rsidRPr="00A42E41">
        <w:rPr>
          <w:bCs/>
          <w:i/>
          <w:sz w:val="24"/>
          <w:szCs w:val="24"/>
        </w:rPr>
        <w:t>Acar</w:t>
      </w:r>
      <w:proofErr w:type="spellEnd"/>
      <w:r w:rsidRPr="00A42E41">
        <w:rPr>
          <w:bCs/>
          <w:i/>
          <w:sz w:val="24"/>
          <w:szCs w:val="24"/>
        </w:rPr>
        <w:t xml:space="preserve"> </w:t>
      </w:r>
      <w:proofErr w:type="spellStart"/>
      <w:r w:rsidRPr="00A42E41">
        <w:rPr>
          <w:bCs/>
          <w:i/>
          <w:sz w:val="24"/>
          <w:szCs w:val="24"/>
        </w:rPr>
        <w:t>p.Turcji</w:t>
      </w:r>
      <w:proofErr w:type="spellEnd"/>
      <w:r w:rsidRPr="00A42E41">
        <w:rPr>
          <w:bCs/>
          <w:sz w:val="24"/>
          <w:szCs w:val="24"/>
        </w:rPr>
        <w:t xml:space="preserve"> [WI], nr 26307/95, § 223, ECHR 2004-III)."</w:t>
      </w:r>
      <w:r w:rsidRPr="00A42E41">
        <w:rPr>
          <w:rStyle w:val="Odwoanieprzypisukocowego"/>
          <w:bCs/>
          <w:sz w:val="24"/>
          <w:szCs w:val="24"/>
        </w:rPr>
        <w:endnoteReference w:id="34"/>
      </w:r>
      <w:r w:rsidRPr="00A42E41">
        <w:rPr>
          <w:bCs/>
          <w:sz w:val="24"/>
          <w:szCs w:val="24"/>
        </w:rPr>
        <w:t xml:space="preserve"> </w:t>
      </w:r>
    </w:p>
    <w:p w:rsidR="00591EC1" w:rsidRPr="00A42E41" w:rsidRDefault="00591EC1" w:rsidP="00E7396B">
      <w:pPr>
        <w:pStyle w:val="Akapitzlist"/>
        <w:spacing w:before="120" w:after="120" w:line="240" w:lineRule="auto"/>
        <w:ind w:left="1429"/>
        <w:contextualSpacing w:val="0"/>
        <w:jc w:val="both"/>
        <w:rPr>
          <w:bCs/>
          <w:sz w:val="24"/>
          <w:szCs w:val="24"/>
        </w:rPr>
      </w:pPr>
    </w:p>
    <w:p w:rsidR="00591EC1" w:rsidRPr="00A42E41" w:rsidRDefault="00591EC1" w:rsidP="00E7396B">
      <w:pPr>
        <w:pStyle w:val="Akapitzlist"/>
        <w:numPr>
          <w:ilvl w:val="0"/>
          <w:numId w:val="29"/>
        </w:numPr>
        <w:spacing w:before="120" w:after="120" w:line="240" w:lineRule="auto"/>
        <w:contextualSpacing w:val="0"/>
        <w:jc w:val="both"/>
        <w:rPr>
          <w:bCs/>
          <w:i/>
          <w:sz w:val="24"/>
          <w:szCs w:val="24"/>
        </w:rPr>
      </w:pPr>
      <w:r w:rsidRPr="00A42E41">
        <w:rPr>
          <w:bCs/>
          <w:i/>
          <w:sz w:val="24"/>
          <w:szCs w:val="24"/>
        </w:rPr>
        <w:t>Staranność</w:t>
      </w:r>
    </w:p>
    <w:p w:rsidR="00591EC1" w:rsidRPr="00A42E41" w:rsidRDefault="00591EC1" w:rsidP="00E7396B">
      <w:pPr>
        <w:pStyle w:val="Akapitzlist"/>
        <w:spacing w:before="120" w:after="120" w:line="240" w:lineRule="auto"/>
        <w:ind w:left="1068"/>
        <w:contextualSpacing w:val="0"/>
        <w:jc w:val="both"/>
        <w:rPr>
          <w:bCs/>
          <w:sz w:val="24"/>
          <w:szCs w:val="24"/>
        </w:rPr>
      </w:pPr>
      <w:r>
        <w:rPr>
          <w:bCs/>
          <w:sz w:val="24"/>
          <w:szCs w:val="24"/>
        </w:rPr>
        <w:t>„</w:t>
      </w:r>
      <w:r w:rsidRPr="00A42E41">
        <w:rPr>
          <w:bCs/>
          <w:sz w:val="24"/>
          <w:szCs w:val="24"/>
        </w:rPr>
        <w:t>Władze muszą podjąć odpowiednie działania będące w ich dyspozycji w celu zabezpieczenia dowodów dotyczących zdarzenia, w tym między innymi zeznania naocznych świadków, wyniki ekspertyz sądowych oraz, w stosownych przypadkach, sekcję zwłok, która zapewni pełny i dokładny wykaz urazów i obiektywną analizę wyników badań klinicznych, w tym przyczynę zgonu (zob. odnośnie</w:t>
      </w:r>
      <w:r>
        <w:rPr>
          <w:bCs/>
          <w:sz w:val="24"/>
          <w:szCs w:val="24"/>
        </w:rPr>
        <w:t xml:space="preserve"> do</w:t>
      </w:r>
      <w:r w:rsidRPr="00A42E41">
        <w:rPr>
          <w:bCs/>
          <w:sz w:val="24"/>
          <w:szCs w:val="24"/>
        </w:rPr>
        <w:t xml:space="preserve"> sekcji zwłok np. </w:t>
      </w:r>
      <w:r w:rsidRPr="00A42E41">
        <w:rPr>
          <w:bCs/>
          <w:i/>
          <w:sz w:val="24"/>
          <w:szCs w:val="24"/>
        </w:rPr>
        <w:t>Salman p. Turcji</w:t>
      </w:r>
      <w:r w:rsidRPr="00A42E41">
        <w:rPr>
          <w:bCs/>
          <w:sz w:val="24"/>
          <w:szCs w:val="24"/>
        </w:rPr>
        <w:t xml:space="preserve"> cytowany powyżej, § 106; odnośnie</w:t>
      </w:r>
      <w:r>
        <w:rPr>
          <w:bCs/>
          <w:sz w:val="24"/>
          <w:szCs w:val="24"/>
        </w:rPr>
        <w:t xml:space="preserve"> do</w:t>
      </w:r>
      <w:r w:rsidRPr="00A42E41">
        <w:rPr>
          <w:bCs/>
          <w:sz w:val="24"/>
          <w:szCs w:val="24"/>
        </w:rPr>
        <w:t xml:space="preserve"> świadków np. </w:t>
      </w:r>
      <w:proofErr w:type="spellStart"/>
      <w:r w:rsidRPr="00A42E41">
        <w:rPr>
          <w:bCs/>
          <w:i/>
          <w:sz w:val="24"/>
          <w:szCs w:val="24"/>
        </w:rPr>
        <w:t>Tanrıkulu</w:t>
      </w:r>
      <w:proofErr w:type="spellEnd"/>
      <w:r w:rsidRPr="00A42E41">
        <w:rPr>
          <w:bCs/>
          <w:i/>
          <w:sz w:val="24"/>
          <w:szCs w:val="24"/>
        </w:rPr>
        <w:t xml:space="preserve"> p. Turcji [WI],</w:t>
      </w:r>
      <w:r w:rsidRPr="00A42E41">
        <w:rPr>
          <w:bCs/>
          <w:sz w:val="24"/>
          <w:szCs w:val="24"/>
        </w:rPr>
        <w:t xml:space="preserve"> nr 23763/94, ECHR 1999-IV, § 109; odnośnie</w:t>
      </w:r>
      <w:r>
        <w:rPr>
          <w:bCs/>
          <w:sz w:val="24"/>
          <w:szCs w:val="24"/>
        </w:rPr>
        <w:t xml:space="preserve"> do</w:t>
      </w:r>
      <w:r w:rsidRPr="00A42E41">
        <w:rPr>
          <w:bCs/>
          <w:sz w:val="24"/>
          <w:szCs w:val="24"/>
        </w:rPr>
        <w:t xml:space="preserve"> dowodów sądowych np. </w:t>
      </w:r>
      <w:proofErr w:type="spellStart"/>
      <w:r w:rsidRPr="00A42E41">
        <w:rPr>
          <w:bCs/>
          <w:i/>
          <w:sz w:val="24"/>
          <w:szCs w:val="24"/>
        </w:rPr>
        <w:t>Gül</w:t>
      </w:r>
      <w:proofErr w:type="spellEnd"/>
      <w:r w:rsidRPr="00A42E41">
        <w:rPr>
          <w:bCs/>
          <w:i/>
          <w:sz w:val="24"/>
          <w:szCs w:val="24"/>
        </w:rPr>
        <w:t xml:space="preserve"> p. Turcji</w:t>
      </w:r>
      <w:r w:rsidRPr="00A42E41">
        <w:rPr>
          <w:bCs/>
          <w:sz w:val="24"/>
          <w:szCs w:val="24"/>
        </w:rPr>
        <w:t xml:space="preserve">, 22676/93, [Rozdział 4], § 89). Wszelkie braki w </w:t>
      </w:r>
      <w:r>
        <w:rPr>
          <w:bCs/>
          <w:sz w:val="24"/>
          <w:szCs w:val="24"/>
        </w:rPr>
        <w:t>postępowaniu przygotowawczym</w:t>
      </w:r>
      <w:r w:rsidRPr="00A42E41">
        <w:rPr>
          <w:bCs/>
          <w:sz w:val="24"/>
          <w:szCs w:val="24"/>
        </w:rPr>
        <w:t xml:space="preserve">, które przeszkadzałyby w </w:t>
      </w:r>
      <w:r w:rsidRPr="00A42E41">
        <w:rPr>
          <w:bCs/>
          <w:sz w:val="24"/>
          <w:szCs w:val="24"/>
        </w:rPr>
        <w:lastRenderedPageBreak/>
        <w:t>ustaleniu przyczyny śmierci lub osoby lub osób odpowiedzialnych</w:t>
      </w:r>
      <w:r>
        <w:rPr>
          <w:bCs/>
          <w:sz w:val="24"/>
          <w:szCs w:val="24"/>
        </w:rPr>
        <w:t>,</w:t>
      </w:r>
      <w:r w:rsidRPr="00A42E41">
        <w:rPr>
          <w:bCs/>
          <w:sz w:val="24"/>
          <w:szCs w:val="24"/>
        </w:rPr>
        <w:t xml:space="preserve"> będą zwiększały ryzyko naruszenia tego standardu."</w:t>
      </w:r>
      <w:r w:rsidRPr="00A42E41">
        <w:rPr>
          <w:rStyle w:val="Odwoanieprzypisukocowego"/>
          <w:bCs/>
          <w:sz w:val="24"/>
          <w:szCs w:val="24"/>
        </w:rPr>
        <w:endnoteReference w:id="35"/>
      </w:r>
    </w:p>
    <w:p w:rsidR="00A52948" w:rsidRPr="00A42E41" w:rsidRDefault="00A52948" w:rsidP="00E7396B">
      <w:pPr>
        <w:pStyle w:val="Akapitzlist"/>
        <w:spacing w:before="120" w:after="120" w:line="240" w:lineRule="auto"/>
        <w:ind w:left="1429"/>
        <w:contextualSpacing w:val="0"/>
        <w:jc w:val="both"/>
        <w:rPr>
          <w:bCs/>
          <w:sz w:val="24"/>
          <w:szCs w:val="24"/>
        </w:rPr>
      </w:pPr>
    </w:p>
    <w:p w:rsidR="00591EC1" w:rsidRPr="00A42E41" w:rsidRDefault="00591EC1" w:rsidP="00E7396B">
      <w:pPr>
        <w:pStyle w:val="Akapitzlist"/>
        <w:numPr>
          <w:ilvl w:val="0"/>
          <w:numId w:val="29"/>
        </w:numPr>
        <w:spacing w:before="120" w:after="120" w:line="240" w:lineRule="auto"/>
        <w:contextualSpacing w:val="0"/>
        <w:jc w:val="both"/>
        <w:rPr>
          <w:bCs/>
          <w:i/>
          <w:sz w:val="24"/>
          <w:szCs w:val="24"/>
        </w:rPr>
      </w:pPr>
      <w:r w:rsidRPr="00A42E41">
        <w:rPr>
          <w:bCs/>
          <w:i/>
          <w:sz w:val="24"/>
          <w:szCs w:val="24"/>
        </w:rPr>
        <w:t>Bezstronność i niezależność</w:t>
      </w:r>
    </w:p>
    <w:p w:rsidR="00591EC1" w:rsidRPr="00A42E41" w:rsidRDefault="00591EC1" w:rsidP="00E7396B">
      <w:pPr>
        <w:pStyle w:val="Akapitzlist"/>
        <w:spacing w:before="120" w:after="120" w:line="240" w:lineRule="auto"/>
        <w:ind w:left="1068"/>
        <w:contextualSpacing w:val="0"/>
        <w:jc w:val="both"/>
        <w:rPr>
          <w:bCs/>
          <w:sz w:val="24"/>
          <w:szCs w:val="24"/>
        </w:rPr>
      </w:pPr>
      <w:r>
        <w:rPr>
          <w:bCs/>
          <w:sz w:val="24"/>
          <w:szCs w:val="24"/>
        </w:rPr>
        <w:t>„</w:t>
      </w:r>
      <w:r w:rsidRPr="00A42E41">
        <w:rPr>
          <w:bCs/>
          <w:sz w:val="24"/>
          <w:szCs w:val="24"/>
        </w:rPr>
        <w:t xml:space="preserve">Aby </w:t>
      </w:r>
      <w:r>
        <w:rPr>
          <w:bCs/>
          <w:sz w:val="24"/>
          <w:szCs w:val="24"/>
        </w:rPr>
        <w:t>postępowanie przygotowawcze</w:t>
      </w:r>
      <w:r w:rsidRPr="00A42E41">
        <w:rPr>
          <w:bCs/>
          <w:sz w:val="24"/>
          <w:szCs w:val="24"/>
        </w:rPr>
        <w:t xml:space="preserve"> prowadzone przez funkcjonariuszy państwowych w sprawie zarzucanego bezprawnego zabójstwa było skuteczne, osoby odpowiedzialne za </w:t>
      </w:r>
      <w:r>
        <w:rPr>
          <w:bCs/>
          <w:sz w:val="24"/>
          <w:szCs w:val="24"/>
        </w:rPr>
        <w:t>postępowanie przygotowawcze</w:t>
      </w:r>
      <w:r w:rsidRPr="00A42E41">
        <w:rPr>
          <w:bCs/>
          <w:sz w:val="24"/>
          <w:szCs w:val="24"/>
        </w:rPr>
        <w:t xml:space="preserve"> oraz je prowadzące muszą być niezależne i bezstronne, zgodnie z prawem jak i w praktyce (zob. </w:t>
      </w:r>
      <w:proofErr w:type="spellStart"/>
      <w:r w:rsidRPr="00A42E41">
        <w:rPr>
          <w:bCs/>
          <w:i/>
          <w:sz w:val="24"/>
          <w:szCs w:val="24"/>
        </w:rPr>
        <w:t>Güleç</w:t>
      </w:r>
      <w:proofErr w:type="spellEnd"/>
      <w:r w:rsidRPr="00A42E41">
        <w:rPr>
          <w:bCs/>
          <w:i/>
          <w:sz w:val="24"/>
          <w:szCs w:val="24"/>
        </w:rPr>
        <w:t xml:space="preserve"> </w:t>
      </w:r>
      <w:proofErr w:type="spellStart"/>
      <w:r w:rsidRPr="00A42E41">
        <w:rPr>
          <w:bCs/>
          <w:i/>
          <w:sz w:val="24"/>
          <w:szCs w:val="24"/>
        </w:rPr>
        <w:t>p.Turcji</w:t>
      </w:r>
      <w:proofErr w:type="spellEnd"/>
      <w:r w:rsidRPr="00A42E41">
        <w:rPr>
          <w:bCs/>
          <w:sz w:val="24"/>
          <w:szCs w:val="24"/>
        </w:rPr>
        <w:t xml:space="preserve">, wyrok z dnia 27 lipca 1998 r., </w:t>
      </w:r>
      <w:proofErr w:type="spellStart"/>
      <w:r w:rsidRPr="00A42E41">
        <w:rPr>
          <w:bCs/>
          <w:sz w:val="24"/>
          <w:szCs w:val="24"/>
        </w:rPr>
        <w:t>Reports</w:t>
      </w:r>
      <w:proofErr w:type="spellEnd"/>
      <w:r w:rsidRPr="00A42E41">
        <w:rPr>
          <w:bCs/>
          <w:sz w:val="24"/>
          <w:szCs w:val="24"/>
        </w:rPr>
        <w:t xml:space="preserve"> 1998-IV, str. 1733, §§ 81-82; </w:t>
      </w:r>
      <w:proofErr w:type="spellStart"/>
      <w:r w:rsidRPr="00A42E41">
        <w:rPr>
          <w:bCs/>
          <w:i/>
          <w:sz w:val="24"/>
          <w:szCs w:val="24"/>
        </w:rPr>
        <w:t>Oğur</w:t>
      </w:r>
      <w:proofErr w:type="spellEnd"/>
      <w:r w:rsidRPr="00A42E41">
        <w:rPr>
          <w:bCs/>
          <w:i/>
          <w:sz w:val="24"/>
          <w:szCs w:val="24"/>
        </w:rPr>
        <w:t xml:space="preserve"> p. Turcji</w:t>
      </w:r>
      <w:r w:rsidRPr="00A42E41">
        <w:rPr>
          <w:bCs/>
          <w:sz w:val="24"/>
          <w:szCs w:val="24"/>
        </w:rPr>
        <w:t xml:space="preserve"> [WI], nr 21594/93, §§ 91-92, ECHR 1999-III; oraz </w:t>
      </w:r>
      <w:r w:rsidRPr="00A42E41">
        <w:rPr>
          <w:bCs/>
          <w:i/>
          <w:sz w:val="24"/>
          <w:szCs w:val="24"/>
        </w:rPr>
        <w:t>Ergi p. Turcji</w:t>
      </w:r>
      <w:r w:rsidRPr="00A42E41">
        <w:rPr>
          <w:bCs/>
          <w:sz w:val="24"/>
          <w:szCs w:val="24"/>
        </w:rPr>
        <w:t xml:space="preserve">, wyrok z dnia 28 lipca 1998 r., </w:t>
      </w:r>
      <w:proofErr w:type="spellStart"/>
      <w:r w:rsidRPr="00A42E41">
        <w:rPr>
          <w:bCs/>
          <w:sz w:val="24"/>
          <w:szCs w:val="24"/>
        </w:rPr>
        <w:t>Raports</w:t>
      </w:r>
      <w:proofErr w:type="spellEnd"/>
      <w:r w:rsidRPr="00A42E41">
        <w:rPr>
          <w:bCs/>
          <w:sz w:val="24"/>
          <w:szCs w:val="24"/>
        </w:rPr>
        <w:t xml:space="preserve"> 1998-IV, str. 1778/79, §§ 83-84)."</w:t>
      </w:r>
      <w:r w:rsidRPr="00A42E41">
        <w:rPr>
          <w:rStyle w:val="Odwoanieprzypisukocowego"/>
          <w:bCs/>
          <w:sz w:val="24"/>
          <w:szCs w:val="24"/>
        </w:rPr>
        <w:endnoteReference w:id="36"/>
      </w:r>
    </w:p>
    <w:p w:rsidR="00591EC1" w:rsidRPr="00A42E41" w:rsidRDefault="00591EC1" w:rsidP="00E7396B">
      <w:pPr>
        <w:pStyle w:val="Akapitzlist"/>
        <w:spacing w:before="120" w:after="120" w:line="240" w:lineRule="auto"/>
        <w:ind w:left="1429"/>
        <w:contextualSpacing w:val="0"/>
        <w:jc w:val="both"/>
        <w:rPr>
          <w:bCs/>
          <w:sz w:val="24"/>
          <w:szCs w:val="24"/>
        </w:rPr>
      </w:pPr>
    </w:p>
    <w:p w:rsidR="00591EC1" w:rsidRPr="00A42E41" w:rsidRDefault="00591EC1" w:rsidP="00E7396B">
      <w:pPr>
        <w:pStyle w:val="Akapitzlist"/>
        <w:numPr>
          <w:ilvl w:val="0"/>
          <w:numId w:val="29"/>
        </w:numPr>
        <w:spacing w:before="120" w:after="120" w:line="240" w:lineRule="auto"/>
        <w:contextualSpacing w:val="0"/>
        <w:jc w:val="both"/>
        <w:rPr>
          <w:bCs/>
          <w:i/>
          <w:sz w:val="24"/>
          <w:szCs w:val="24"/>
        </w:rPr>
      </w:pPr>
      <w:r>
        <w:rPr>
          <w:bCs/>
          <w:i/>
          <w:sz w:val="24"/>
          <w:szCs w:val="24"/>
        </w:rPr>
        <w:t>Sprawność</w:t>
      </w:r>
    </w:p>
    <w:p w:rsidR="00591EC1" w:rsidRPr="00A42E41" w:rsidRDefault="00591EC1" w:rsidP="00E7396B">
      <w:pPr>
        <w:pStyle w:val="Akapitzlist"/>
        <w:spacing w:before="120" w:after="120" w:line="240" w:lineRule="auto"/>
        <w:ind w:left="1068"/>
        <w:contextualSpacing w:val="0"/>
        <w:jc w:val="both"/>
        <w:rPr>
          <w:bCs/>
          <w:sz w:val="24"/>
          <w:szCs w:val="24"/>
        </w:rPr>
      </w:pPr>
      <w:r>
        <w:rPr>
          <w:bCs/>
          <w:sz w:val="24"/>
          <w:szCs w:val="24"/>
        </w:rPr>
        <w:t>„Postępowanie przygotowawcze</w:t>
      </w:r>
      <w:r w:rsidRPr="00A42E41">
        <w:rPr>
          <w:bCs/>
          <w:sz w:val="24"/>
          <w:szCs w:val="24"/>
        </w:rPr>
        <w:t xml:space="preserve"> musi być skuteczne w tym sensie, że jest w stanie doprowadzić do zidentyfikowania i ukarania</w:t>
      </w:r>
      <w:r w:rsidRPr="00A42E41">
        <w:rPr>
          <w:sz w:val="24"/>
          <w:szCs w:val="24"/>
        </w:rPr>
        <w:t xml:space="preserve"> </w:t>
      </w:r>
      <w:r w:rsidRPr="00A42E41">
        <w:rPr>
          <w:bCs/>
          <w:sz w:val="24"/>
          <w:szCs w:val="24"/>
        </w:rPr>
        <w:t xml:space="preserve">odpowiedzialnych osób (zob. </w:t>
      </w:r>
      <w:proofErr w:type="spellStart"/>
      <w:r w:rsidRPr="00A42E41">
        <w:rPr>
          <w:bCs/>
          <w:i/>
          <w:sz w:val="24"/>
          <w:szCs w:val="24"/>
        </w:rPr>
        <w:t>Oğur</w:t>
      </w:r>
      <w:proofErr w:type="spellEnd"/>
      <w:r w:rsidRPr="00A42E41">
        <w:rPr>
          <w:bCs/>
          <w:i/>
          <w:sz w:val="24"/>
          <w:szCs w:val="24"/>
        </w:rPr>
        <w:t xml:space="preserve"> p. Turcji</w:t>
      </w:r>
      <w:r w:rsidRPr="00A42E41">
        <w:rPr>
          <w:bCs/>
          <w:sz w:val="24"/>
          <w:szCs w:val="24"/>
        </w:rPr>
        <w:t xml:space="preserve"> [WI], nr 21954/93, § 88, ECHR 1999-III). Wszelkie braki w </w:t>
      </w:r>
      <w:r>
        <w:rPr>
          <w:bCs/>
          <w:sz w:val="24"/>
          <w:szCs w:val="24"/>
        </w:rPr>
        <w:t>postępowaniu przygotowawczym</w:t>
      </w:r>
      <w:r w:rsidRPr="00A42E41">
        <w:rPr>
          <w:bCs/>
          <w:sz w:val="24"/>
          <w:szCs w:val="24"/>
        </w:rPr>
        <w:t>, które przeszkadzają w ustaleniu przyczyny śmierci lub odpowiedzialnej osoby</w:t>
      </w:r>
      <w:r>
        <w:rPr>
          <w:bCs/>
          <w:sz w:val="24"/>
          <w:szCs w:val="24"/>
        </w:rPr>
        <w:t>,</w:t>
      </w:r>
      <w:r w:rsidRPr="00A42E41">
        <w:rPr>
          <w:bCs/>
          <w:sz w:val="24"/>
          <w:szCs w:val="24"/>
        </w:rPr>
        <w:t xml:space="preserve"> będą stwarzały </w:t>
      </w:r>
      <w:r>
        <w:rPr>
          <w:bCs/>
          <w:sz w:val="24"/>
          <w:szCs w:val="24"/>
        </w:rPr>
        <w:t xml:space="preserve">ryzyko </w:t>
      </w:r>
      <w:r w:rsidRPr="00A42E41">
        <w:rPr>
          <w:bCs/>
          <w:sz w:val="24"/>
          <w:szCs w:val="24"/>
        </w:rPr>
        <w:t xml:space="preserve">naruszenia standardu.(...) Należy </w:t>
      </w:r>
      <w:r>
        <w:rPr>
          <w:bCs/>
          <w:sz w:val="24"/>
          <w:szCs w:val="24"/>
        </w:rPr>
        <w:t>uz</w:t>
      </w:r>
      <w:r w:rsidRPr="00A42E41">
        <w:rPr>
          <w:bCs/>
          <w:sz w:val="24"/>
          <w:szCs w:val="24"/>
        </w:rPr>
        <w:t xml:space="preserve">nać, że </w:t>
      </w:r>
      <w:r>
        <w:rPr>
          <w:bCs/>
          <w:sz w:val="24"/>
          <w:szCs w:val="24"/>
        </w:rPr>
        <w:t xml:space="preserve">w niektórych sytuacjach </w:t>
      </w:r>
      <w:r w:rsidRPr="00A42E41">
        <w:rPr>
          <w:bCs/>
          <w:sz w:val="24"/>
          <w:szCs w:val="24"/>
        </w:rPr>
        <w:t>mogą wystąpić przeszkody lub trudności, które uniemożliwi</w:t>
      </w:r>
      <w:r>
        <w:rPr>
          <w:bCs/>
          <w:sz w:val="24"/>
          <w:szCs w:val="24"/>
        </w:rPr>
        <w:t>ą</w:t>
      </w:r>
      <w:r w:rsidRPr="00A42E41">
        <w:rPr>
          <w:bCs/>
          <w:sz w:val="24"/>
          <w:szCs w:val="24"/>
        </w:rPr>
        <w:t xml:space="preserve"> postęp</w:t>
      </w:r>
      <w:r>
        <w:rPr>
          <w:bCs/>
          <w:sz w:val="24"/>
          <w:szCs w:val="24"/>
        </w:rPr>
        <w:t>y</w:t>
      </w:r>
      <w:r w:rsidRPr="00A42E41">
        <w:rPr>
          <w:bCs/>
          <w:sz w:val="24"/>
          <w:szCs w:val="24"/>
        </w:rPr>
        <w:t xml:space="preserve"> w</w:t>
      </w:r>
      <w:r w:rsidRPr="0051797A">
        <w:t xml:space="preserve"> </w:t>
      </w:r>
      <w:r w:rsidRPr="0051797A">
        <w:rPr>
          <w:bCs/>
          <w:sz w:val="24"/>
          <w:szCs w:val="24"/>
        </w:rPr>
        <w:t>postępowaniu przygotowawczym</w:t>
      </w:r>
      <w:r w:rsidRPr="00A42E41">
        <w:rPr>
          <w:bCs/>
          <w:sz w:val="24"/>
          <w:szCs w:val="24"/>
        </w:rPr>
        <w:t xml:space="preserve">. Jednak szybka reakcja władz w </w:t>
      </w:r>
      <w:r w:rsidRPr="0051797A">
        <w:rPr>
          <w:bCs/>
          <w:sz w:val="24"/>
          <w:szCs w:val="24"/>
        </w:rPr>
        <w:t>postępowaniu przygotowawczym</w:t>
      </w:r>
      <w:r w:rsidRPr="00A42E41">
        <w:rPr>
          <w:bCs/>
          <w:sz w:val="24"/>
          <w:szCs w:val="24"/>
        </w:rPr>
        <w:t xml:space="preserve"> </w:t>
      </w:r>
      <w:r w:rsidRPr="00F37C0F">
        <w:rPr>
          <w:bCs/>
          <w:sz w:val="24"/>
          <w:szCs w:val="24"/>
        </w:rPr>
        <w:t xml:space="preserve">dotyczącym użycia </w:t>
      </w:r>
      <w:r>
        <w:rPr>
          <w:bCs/>
          <w:sz w:val="24"/>
          <w:szCs w:val="24"/>
        </w:rPr>
        <w:t>siły zagrażającej życiu</w:t>
      </w:r>
      <w:r w:rsidRPr="00A42E41">
        <w:rPr>
          <w:bCs/>
          <w:sz w:val="24"/>
          <w:szCs w:val="24"/>
        </w:rPr>
        <w:t xml:space="preserve"> na ogół może być uznana za podstawę zaufania publicznego </w:t>
      </w:r>
      <w:r>
        <w:rPr>
          <w:bCs/>
          <w:sz w:val="24"/>
          <w:szCs w:val="24"/>
        </w:rPr>
        <w:t>do</w:t>
      </w:r>
      <w:r w:rsidRPr="00A42E41">
        <w:rPr>
          <w:bCs/>
          <w:sz w:val="24"/>
          <w:szCs w:val="24"/>
        </w:rPr>
        <w:t xml:space="preserve"> utrzymani</w:t>
      </w:r>
      <w:r>
        <w:rPr>
          <w:bCs/>
          <w:sz w:val="24"/>
          <w:szCs w:val="24"/>
        </w:rPr>
        <w:t>a</w:t>
      </w:r>
      <w:r w:rsidRPr="00A42E41">
        <w:rPr>
          <w:bCs/>
          <w:sz w:val="24"/>
          <w:szCs w:val="24"/>
        </w:rPr>
        <w:t xml:space="preserve"> praworządności oraz zapobiegani</w:t>
      </w:r>
      <w:r>
        <w:rPr>
          <w:bCs/>
          <w:sz w:val="24"/>
          <w:szCs w:val="24"/>
        </w:rPr>
        <w:t>a</w:t>
      </w:r>
      <w:r w:rsidRPr="00A42E41">
        <w:rPr>
          <w:bCs/>
          <w:sz w:val="24"/>
          <w:szCs w:val="24"/>
        </w:rPr>
        <w:t xml:space="preserve"> wszelkim przejawom zmowy dotyczącej</w:t>
      </w:r>
      <w:r w:rsidRPr="00A42E41">
        <w:rPr>
          <w:sz w:val="24"/>
          <w:szCs w:val="24"/>
        </w:rPr>
        <w:t xml:space="preserve"> </w:t>
      </w:r>
      <w:r w:rsidRPr="00A42E41">
        <w:rPr>
          <w:bCs/>
          <w:sz w:val="24"/>
          <w:szCs w:val="24"/>
        </w:rPr>
        <w:t>bezprawnych czynów lub ich tolerowania."</w:t>
      </w:r>
      <w:r w:rsidRPr="00A42E41">
        <w:rPr>
          <w:rStyle w:val="Odwoanieprzypisukocowego"/>
          <w:bCs/>
          <w:sz w:val="24"/>
          <w:szCs w:val="24"/>
        </w:rPr>
        <w:endnoteReference w:id="37"/>
      </w:r>
    </w:p>
    <w:p w:rsidR="00591EC1" w:rsidRPr="00A42E41" w:rsidRDefault="00591EC1" w:rsidP="00E7396B">
      <w:pPr>
        <w:pStyle w:val="Akapitzlist"/>
        <w:numPr>
          <w:ilvl w:val="0"/>
          <w:numId w:val="29"/>
        </w:numPr>
        <w:spacing w:before="120" w:after="120" w:line="240" w:lineRule="auto"/>
        <w:contextualSpacing w:val="0"/>
        <w:jc w:val="both"/>
        <w:rPr>
          <w:bCs/>
          <w:i/>
          <w:sz w:val="24"/>
          <w:szCs w:val="24"/>
        </w:rPr>
      </w:pPr>
      <w:r>
        <w:rPr>
          <w:bCs/>
          <w:i/>
          <w:sz w:val="24"/>
          <w:szCs w:val="24"/>
        </w:rPr>
        <w:t>K</w:t>
      </w:r>
      <w:r w:rsidRPr="00A42E41">
        <w:rPr>
          <w:bCs/>
          <w:i/>
          <w:sz w:val="24"/>
          <w:szCs w:val="24"/>
        </w:rPr>
        <w:t>ontrola publiczna</w:t>
      </w:r>
    </w:p>
    <w:p w:rsidR="00591EC1" w:rsidRPr="00A42E41" w:rsidRDefault="00591EC1" w:rsidP="00E7396B">
      <w:pPr>
        <w:pStyle w:val="Akapitzlist"/>
        <w:spacing w:before="120" w:after="120" w:line="240" w:lineRule="auto"/>
        <w:ind w:left="1068"/>
        <w:contextualSpacing w:val="0"/>
        <w:jc w:val="both"/>
        <w:rPr>
          <w:bCs/>
          <w:sz w:val="24"/>
          <w:szCs w:val="24"/>
        </w:rPr>
      </w:pPr>
      <w:r w:rsidRPr="00A42E41">
        <w:rPr>
          <w:bCs/>
          <w:sz w:val="24"/>
          <w:szCs w:val="24"/>
        </w:rPr>
        <w:t xml:space="preserve">„Wymagany stopień kontroli publicznej może różnić się w zależności od sprawy. Jednak we wszystkich przypadkach najbliżsi krewni ofiary muszą uczestniczyć w postępowaniu w zakresie niezbędnym do ochrony ich uzasadnionych interesów (zob. </w:t>
      </w:r>
      <w:proofErr w:type="spellStart"/>
      <w:r w:rsidRPr="005B3620">
        <w:rPr>
          <w:bCs/>
          <w:i/>
          <w:sz w:val="24"/>
          <w:szCs w:val="24"/>
        </w:rPr>
        <w:t>Güleç</w:t>
      </w:r>
      <w:proofErr w:type="spellEnd"/>
      <w:r w:rsidRPr="005B3620">
        <w:rPr>
          <w:bCs/>
          <w:i/>
          <w:sz w:val="24"/>
          <w:szCs w:val="24"/>
        </w:rPr>
        <w:t>,</w:t>
      </w:r>
      <w:r w:rsidRPr="00A42E41">
        <w:rPr>
          <w:bCs/>
          <w:sz w:val="24"/>
          <w:szCs w:val="24"/>
        </w:rPr>
        <w:t xml:space="preserve"> cytowany powyżej, str. 1733, § 82, w którym ojciec ofiary nie został poinformowany o decyzji o odmowie ścigania; </w:t>
      </w:r>
      <w:proofErr w:type="spellStart"/>
      <w:r w:rsidRPr="005B3620">
        <w:rPr>
          <w:bCs/>
          <w:i/>
          <w:sz w:val="24"/>
          <w:szCs w:val="24"/>
        </w:rPr>
        <w:t>Oğur</w:t>
      </w:r>
      <w:proofErr w:type="spellEnd"/>
      <w:r w:rsidRPr="005B3620">
        <w:rPr>
          <w:bCs/>
          <w:i/>
          <w:sz w:val="24"/>
          <w:szCs w:val="24"/>
        </w:rPr>
        <w:t>,</w:t>
      </w:r>
      <w:r w:rsidRPr="00A42E41">
        <w:rPr>
          <w:bCs/>
          <w:sz w:val="24"/>
          <w:szCs w:val="24"/>
        </w:rPr>
        <w:t xml:space="preserve"> cytowany powyżej, § 92, gdzie rodzina ofiary n</w:t>
      </w:r>
      <w:r>
        <w:rPr>
          <w:bCs/>
          <w:sz w:val="24"/>
          <w:szCs w:val="24"/>
        </w:rPr>
        <w:t>ie miała dostępu do dokumentów postępowania przygotowawczego</w:t>
      </w:r>
      <w:r w:rsidRPr="00A42E41">
        <w:rPr>
          <w:bCs/>
          <w:sz w:val="24"/>
          <w:szCs w:val="24"/>
        </w:rPr>
        <w:t xml:space="preserve"> i postępowania sądowego;</w:t>
      </w:r>
      <w:r>
        <w:rPr>
          <w:bCs/>
          <w:sz w:val="24"/>
          <w:szCs w:val="24"/>
        </w:rPr>
        <w:t xml:space="preserve"> oraz</w:t>
      </w:r>
      <w:r w:rsidRPr="00A42E41">
        <w:rPr>
          <w:bCs/>
          <w:sz w:val="24"/>
          <w:szCs w:val="24"/>
        </w:rPr>
        <w:t xml:space="preserve"> </w:t>
      </w:r>
      <w:proofErr w:type="spellStart"/>
      <w:r w:rsidRPr="005B3620">
        <w:rPr>
          <w:bCs/>
          <w:i/>
          <w:sz w:val="24"/>
          <w:szCs w:val="24"/>
        </w:rPr>
        <w:t>Gül</w:t>
      </w:r>
      <w:proofErr w:type="spellEnd"/>
      <w:r w:rsidRPr="005B3620">
        <w:rPr>
          <w:bCs/>
          <w:i/>
          <w:sz w:val="24"/>
          <w:szCs w:val="24"/>
        </w:rPr>
        <w:t>,</w:t>
      </w:r>
      <w:r w:rsidRPr="00A42E41">
        <w:rPr>
          <w:bCs/>
          <w:sz w:val="24"/>
          <w:szCs w:val="24"/>
        </w:rPr>
        <w:t xml:space="preserve"> cytowany powyżej, § 93)"</w:t>
      </w:r>
      <w:r w:rsidRPr="00A42E41">
        <w:rPr>
          <w:rStyle w:val="Odwoanieprzypisukocowego"/>
          <w:bCs/>
          <w:sz w:val="24"/>
          <w:szCs w:val="24"/>
        </w:rPr>
        <w:endnoteReference w:id="38"/>
      </w:r>
    </w:p>
    <w:p w:rsidR="00591EC1" w:rsidRPr="00A42E41" w:rsidRDefault="00591EC1" w:rsidP="00E7396B">
      <w:pPr>
        <w:pStyle w:val="Akapitzlist"/>
        <w:spacing w:before="120" w:after="120" w:line="240" w:lineRule="auto"/>
        <w:ind w:left="1429"/>
        <w:contextualSpacing w:val="0"/>
        <w:jc w:val="both"/>
        <w:rPr>
          <w:bCs/>
          <w:i/>
          <w:sz w:val="24"/>
          <w:szCs w:val="24"/>
        </w:rPr>
      </w:pPr>
    </w:p>
    <w:p w:rsidR="00591EC1" w:rsidRPr="00A42E41" w:rsidRDefault="00591EC1" w:rsidP="00E7396B">
      <w:pPr>
        <w:spacing w:before="120" w:after="120" w:line="240" w:lineRule="auto"/>
        <w:ind w:left="567"/>
        <w:jc w:val="both"/>
        <w:rPr>
          <w:bCs/>
          <w:i/>
          <w:sz w:val="24"/>
          <w:szCs w:val="24"/>
        </w:rPr>
      </w:pPr>
      <w:r w:rsidRPr="00A42E41">
        <w:rPr>
          <w:bCs/>
          <w:i/>
          <w:sz w:val="24"/>
          <w:szCs w:val="24"/>
        </w:rPr>
        <w:t>Przedawnienie przestępstw międzynarodowych</w:t>
      </w:r>
    </w:p>
    <w:p w:rsidR="00591EC1" w:rsidRPr="00A42E41" w:rsidRDefault="00591EC1" w:rsidP="00E7396B">
      <w:pPr>
        <w:pStyle w:val="Akapitzlist"/>
        <w:numPr>
          <w:ilvl w:val="0"/>
          <w:numId w:val="19"/>
        </w:numPr>
        <w:spacing w:before="120" w:after="120" w:line="240" w:lineRule="auto"/>
        <w:ind w:left="567"/>
        <w:contextualSpacing w:val="0"/>
        <w:jc w:val="both"/>
        <w:rPr>
          <w:bCs/>
          <w:sz w:val="24"/>
          <w:szCs w:val="24"/>
        </w:rPr>
      </w:pPr>
      <w:r w:rsidRPr="00A42E41">
        <w:rPr>
          <w:bCs/>
          <w:sz w:val="24"/>
          <w:szCs w:val="24"/>
        </w:rPr>
        <w:t xml:space="preserve">Dwa traktaty międzynarodowe </w:t>
      </w:r>
      <w:r>
        <w:rPr>
          <w:bCs/>
          <w:sz w:val="24"/>
          <w:szCs w:val="24"/>
        </w:rPr>
        <w:t xml:space="preserve">miały na celu </w:t>
      </w:r>
      <w:r w:rsidRPr="00A42E41">
        <w:rPr>
          <w:bCs/>
          <w:sz w:val="24"/>
          <w:szCs w:val="24"/>
        </w:rPr>
        <w:t>kodyfikacj</w:t>
      </w:r>
      <w:r>
        <w:rPr>
          <w:bCs/>
          <w:sz w:val="24"/>
          <w:szCs w:val="24"/>
        </w:rPr>
        <w:t>ę</w:t>
      </w:r>
      <w:r w:rsidRPr="00A42E41">
        <w:rPr>
          <w:bCs/>
          <w:sz w:val="24"/>
          <w:szCs w:val="24"/>
        </w:rPr>
        <w:t xml:space="preserve"> prawa w odniesieniu do najpoważniejszych przestępstw wynikających z prawa międzynarodowego </w:t>
      </w:r>
      <w:r>
        <w:rPr>
          <w:bCs/>
          <w:sz w:val="24"/>
          <w:szCs w:val="24"/>
        </w:rPr>
        <w:t>–</w:t>
      </w:r>
      <w:r w:rsidRPr="00A42E41">
        <w:rPr>
          <w:bCs/>
          <w:sz w:val="24"/>
          <w:szCs w:val="24"/>
        </w:rPr>
        <w:t xml:space="preserve"> takich jak ludobójstwo, zbrodnie wojenne i zbrodnie przeciwko ludzkości </w:t>
      </w:r>
      <w:r>
        <w:rPr>
          <w:bCs/>
          <w:sz w:val="24"/>
          <w:szCs w:val="24"/>
        </w:rPr>
        <w:t>–</w:t>
      </w:r>
      <w:r w:rsidRPr="00A42E41">
        <w:rPr>
          <w:bCs/>
          <w:sz w:val="24"/>
          <w:szCs w:val="24"/>
        </w:rPr>
        <w:t xml:space="preserve"> </w:t>
      </w:r>
      <w:r>
        <w:rPr>
          <w:bCs/>
          <w:sz w:val="24"/>
          <w:szCs w:val="24"/>
        </w:rPr>
        <w:t>oraz kwestii przedawnień</w:t>
      </w:r>
      <w:r w:rsidRPr="00A42E41">
        <w:rPr>
          <w:bCs/>
          <w:sz w:val="24"/>
          <w:szCs w:val="24"/>
        </w:rPr>
        <w:t>. Konwencja ONZ o niestosowaniu przedawnienia wo</w:t>
      </w:r>
      <w:r>
        <w:rPr>
          <w:bCs/>
          <w:sz w:val="24"/>
          <w:szCs w:val="24"/>
        </w:rPr>
        <w:t>bec zbrodni wojennych i zbrodni</w:t>
      </w:r>
      <w:r w:rsidRPr="00A42E41">
        <w:rPr>
          <w:bCs/>
          <w:sz w:val="24"/>
          <w:szCs w:val="24"/>
        </w:rPr>
        <w:t xml:space="preserve"> przeciwko ludzkości weszła w życie w 1970 r. i, jak do tej pory (maj 2015 r.), </w:t>
      </w:r>
      <w:r>
        <w:rPr>
          <w:bCs/>
          <w:sz w:val="24"/>
          <w:szCs w:val="24"/>
        </w:rPr>
        <w:t xml:space="preserve">ma </w:t>
      </w:r>
      <w:r w:rsidRPr="00A42E41">
        <w:rPr>
          <w:bCs/>
          <w:sz w:val="24"/>
          <w:szCs w:val="24"/>
        </w:rPr>
        <w:t xml:space="preserve">pięćdziesiąt pięć </w:t>
      </w:r>
      <w:r>
        <w:rPr>
          <w:bCs/>
          <w:sz w:val="24"/>
          <w:szCs w:val="24"/>
        </w:rPr>
        <w:t>p</w:t>
      </w:r>
      <w:r w:rsidRPr="00A42E41">
        <w:rPr>
          <w:bCs/>
          <w:sz w:val="24"/>
          <w:szCs w:val="24"/>
        </w:rPr>
        <w:t>aństw-</w:t>
      </w:r>
      <w:r>
        <w:rPr>
          <w:bCs/>
          <w:sz w:val="24"/>
          <w:szCs w:val="24"/>
        </w:rPr>
        <w:t>s</w:t>
      </w:r>
      <w:r w:rsidRPr="00A42E41">
        <w:rPr>
          <w:bCs/>
          <w:sz w:val="24"/>
          <w:szCs w:val="24"/>
        </w:rPr>
        <w:t xml:space="preserve">tron. Europejska </w:t>
      </w:r>
      <w:r>
        <w:rPr>
          <w:bCs/>
          <w:sz w:val="24"/>
          <w:szCs w:val="24"/>
        </w:rPr>
        <w:t>k</w:t>
      </w:r>
      <w:r w:rsidRPr="00A42E41">
        <w:rPr>
          <w:bCs/>
          <w:sz w:val="24"/>
          <w:szCs w:val="24"/>
        </w:rPr>
        <w:t xml:space="preserve">onwencja o niestosowaniu przedawnienia wobec zbrodni przeciwko ludzkości i zbrodni wojennych, która weszła w </w:t>
      </w:r>
      <w:r w:rsidRPr="00A42E41">
        <w:rPr>
          <w:bCs/>
          <w:sz w:val="24"/>
          <w:szCs w:val="24"/>
        </w:rPr>
        <w:lastRenderedPageBreak/>
        <w:t>życie w 2003 r., do tej pory (maj 2015 r.) została ratyfikowana tylko przez siedem państw członkowskich Rady Europy. Niezależnie od</w:t>
      </w:r>
      <w:r>
        <w:rPr>
          <w:bCs/>
          <w:sz w:val="24"/>
          <w:szCs w:val="24"/>
        </w:rPr>
        <w:t xml:space="preserve"> </w:t>
      </w:r>
      <w:r w:rsidRPr="00A42E41">
        <w:rPr>
          <w:bCs/>
          <w:sz w:val="24"/>
          <w:szCs w:val="24"/>
        </w:rPr>
        <w:t xml:space="preserve">raczej niechętnej akceptacji tych traktatów przez państwa, art. 29 Statutu Międzynarodowego Trybunału Karnego stanowi, że wyżej wymienione przestępstwa nie podlegają przedawnieniu. Ponadto, zgodnie z </w:t>
      </w:r>
      <w:r>
        <w:rPr>
          <w:bCs/>
          <w:sz w:val="24"/>
          <w:szCs w:val="24"/>
        </w:rPr>
        <w:t>z</w:t>
      </w:r>
      <w:r w:rsidRPr="00A42E41">
        <w:rPr>
          <w:bCs/>
          <w:sz w:val="24"/>
          <w:szCs w:val="24"/>
        </w:rPr>
        <w:t>asadą 6 dokumentu przyjętego przez Zgromadzenie Ogólne ONZ w grudniu 2005 r.</w:t>
      </w:r>
      <w:r>
        <w:rPr>
          <w:bCs/>
          <w:sz w:val="24"/>
          <w:szCs w:val="24"/>
        </w:rPr>
        <w:t xml:space="preserve"> o nazwie</w:t>
      </w:r>
      <w:r w:rsidRPr="00A42E41">
        <w:rPr>
          <w:bCs/>
          <w:sz w:val="24"/>
          <w:szCs w:val="24"/>
        </w:rPr>
        <w:t xml:space="preserve"> </w:t>
      </w:r>
      <w:r>
        <w:rPr>
          <w:bCs/>
          <w:sz w:val="24"/>
          <w:szCs w:val="24"/>
        </w:rPr>
        <w:t>„</w:t>
      </w:r>
      <w:r w:rsidRPr="00A42E41">
        <w:rPr>
          <w:bCs/>
          <w:sz w:val="24"/>
          <w:szCs w:val="24"/>
        </w:rPr>
        <w:t>Podstawowe zasady i wytyczne dotyczące prawa do zadośćuczynienia i odszkodowania dla ofiar rażących naruszeń prawa międzynarodowego</w:t>
      </w:r>
      <w:r>
        <w:rPr>
          <w:bCs/>
          <w:sz w:val="24"/>
          <w:szCs w:val="24"/>
        </w:rPr>
        <w:t xml:space="preserve"> w zakresie praw człowieka</w:t>
      </w:r>
      <w:r w:rsidRPr="00A42E41">
        <w:rPr>
          <w:bCs/>
          <w:sz w:val="24"/>
          <w:szCs w:val="24"/>
        </w:rPr>
        <w:t xml:space="preserve"> i poważnych naruszeń międzynarodowego prawa humanitarnego"</w:t>
      </w:r>
      <w:r w:rsidRPr="00A42E41">
        <w:rPr>
          <w:rStyle w:val="Odwoanieprzypisukocowego"/>
          <w:bCs/>
          <w:sz w:val="24"/>
          <w:szCs w:val="24"/>
        </w:rPr>
        <w:endnoteReference w:id="39"/>
      </w:r>
      <w:r>
        <w:rPr>
          <w:bCs/>
          <w:sz w:val="24"/>
          <w:szCs w:val="24"/>
        </w:rPr>
        <w:t>,</w:t>
      </w:r>
      <w:r w:rsidRPr="00A42E41">
        <w:rPr>
          <w:bCs/>
          <w:sz w:val="24"/>
          <w:szCs w:val="24"/>
        </w:rPr>
        <w:t xml:space="preserve"> przedawnie</w:t>
      </w:r>
      <w:r>
        <w:rPr>
          <w:bCs/>
          <w:sz w:val="24"/>
          <w:szCs w:val="24"/>
        </w:rPr>
        <w:t>nia</w:t>
      </w:r>
      <w:r w:rsidRPr="00A42E41">
        <w:rPr>
          <w:bCs/>
          <w:sz w:val="24"/>
          <w:szCs w:val="24"/>
        </w:rPr>
        <w:t xml:space="preserve"> nie stosuje się do rażących naruszeń prawa międzynarodowego w zakresie praw człowieka i poważnych naruszeń międzynarodowego prawa humanitarnego, które stanowią przestępstwa na mocy prawa międzynarodowego.</w:t>
      </w:r>
    </w:p>
    <w:p w:rsidR="00591EC1" w:rsidRPr="00F37C0F" w:rsidRDefault="00591EC1" w:rsidP="00E7396B">
      <w:pPr>
        <w:pStyle w:val="Akapitzlist"/>
        <w:numPr>
          <w:ilvl w:val="0"/>
          <w:numId w:val="19"/>
        </w:numPr>
        <w:spacing w:before="120" w:after="120" w:line="240" w:lineRule="auto"/>
        <w:ind w:left="567"/>
        <w:contextualSpacing w:val="0"/>
        <w:jc w:val="both"/>
        <w:rPr>
          <w:bCs/>
          <w:sz w:val="24"/>
          <w:szCs w:val="24"/>
        </w:rPr>
      </w:pPr>
      <w:r w:rsidRPr="00A42E41">
        <w:rPr>
          <w:bCs/>
          <w:sz w:val="24"/>
          <w:szCs w:val="24"/>
        </w:rPr>
        <w:t xml:space="preserve">Mogą jednak istnieć inne przestępstwa międzynarodowe niż te przewidziane przez </w:t>
      </w:r>
      <w:r>
        <w:rPr>
          <w:bCs/>
          <w:sz w:val="24"/>
          <w:szCs w:val="24"/>
        </w:rPr>
        <w:t>S</w:t>
      </w:r>
      <w:r w:rsidRPr="00A42E41">
        <w:rPr>
          <w:bCs/>
          <w:sz w:val="24"/>
          <w:szCs w:val="24"/>
        </w:rPr>
        <w:t xml:space="preserve">tatut Międzynarodowego Trybunału Karnego, do których </w:t>
      </w:r>
      <w:r>
        <w:rPr>
          <w:bCs/>
          <w:sz w:val="24"/>
          <w:szCs w:val="24"/>
        </w:rPr>
        <w:t xml:space="preserve">kryminalizacji w </w:t>
      </w:r>
      <w:r w:rsidRPr="00A42E41">
        <w:rPr>
          <w:bCs/>
          <w:sz w:val="24"/>
          <w:szCs w:val="24"/>
        </w:rPr>
        <w:t xml:space="preserve">prawie krajowym </w:t>
      </w:r>
      <w:r>
        <w:rPr>
          <w:bCs/>
          <w:sz w:val="24"/>
          <w:szCs w:val="24"/>
        </w:rPr>
        <w:t xml:space="preserve">zobowiązane są </w:t>
      </w:r>
      <w:r w:rsidRPr="00A42E41">
        <w:rPr>
          <w:bCs/>
          <w:sz w:val="24"/>
          <w:szCs w:val="24"/>
        </w:rPr>
        <w:t xml:space="preserve">państwa członkowskie. Dotyczy to przestępstw, o których mowa w drugim punkcie </w:t>
      </w:r>
      <w:r w:rsidRPr="005B3620">
        <w:rPr>
          <w:bCs/>
          <w:sz w:val="24"/>
          <w:szCs w:val="24"/>
          <w:u w:val="single"/>
        </w:rPr>
        <w:t>paragrafu 44 Rekomendacji,</w:t>
      </w:r>
      <w:r w:rsidRPr="00A42E41">
        <w:rPr>
          <w:bCs/>
          <w:sz w:val="24"/>
          <w:szCs w:val="24"/>
        </w:rPr>
        <w:t xml:space="preserve"> taki</w:t>
      </w:r>
      <w:r>
        <w:rPr>
          <w:bCs/>
          <w:sz w:val="24"/>
          <w:szCs w:val="24"/>
        </w:rPr>
        <w:t>ch</w:t>
      </w:r>
      <w:r w:rsidRPr="00A42E41">
        <w:rPr>
          <w:bCs/>
          <w:sz w:val="24"/>
          <w:szCs w:val="24"/>
        </w:rPr>
        <w:t xml:space="preserve"> jak przestępstwa</w:t>
      </w:r>
      <w:r>
        <w:rPr>
          <w:bCs/>
          <w:sz w:val="24"/>
          <w:szCs w:val="24"/>
        </w:rPr>
        <w:t xml:space="preserve"> przewidziane</w:t>
      </w:r>
      <w:r w:rsidRPr="00A42E41">
        <w:rPr>
          <w:bCs/>
          <w:sz w:val="24"/>
          <w:szCs w:val="24"/>
        </w:rPr>
        <w:t xml:space="preserve"> w Konwencji ONZ przeciwko międzynarodowej przestępczości zorganizowanej lub </w:t>
      </w:r>
      <w:r>
        <w:rPr>
          <w:bCs/>
          <w:sz w:val="24"/>
          <w:szCs w:val="24"/>
        </w:rPr>
        <w:t>K</w:t>
      </w:r>
      <w:r w:rsidRPr="00A42E41">
        <w:rPr>
          <w:bCs/>
          <w:sz w:val="24"/>
          <w:szCs w:val="24"/>
        </w:rPr>
        <w:t>onwencji Rady Europy przeciwko handlowi ludźmi. Prawo międzynarodowe niekoniecznie wyklucza stosowanie</w:t>
      </w:r>
      <w:r w:rsidRPr="005B0626">
        <w:t xml:space="preserve"> </w:t>
      </w:r>
      <w:r w:rsidRPr="008170D5">
        <w:rPr>
          <w:bCs/>
          <w:sz w:val="24"/>
          <w:szCs w:val="24"/>
        </w:rPr>
        <w:t>terminów przedawnień</w:t>
      </w:r>
      <w:r w:rsidRPr="00A42E41">
        <w:rPr>
          <w:bCs/>
          <w:sz w:val="24"/>
          <w:szCs w:val="24"/>
        </w:rPr>
        <w:t xml:space="preserve"> wobec przestępstw wynikających z traktatów. Jednakże </w:t>
      </w:r>
      <w:r>
        <w:rPr>
          <w:bCs/>
          <w:sz w:val="24"/>
          <w:szCs w:val="24"/>
        </w:rPr>
        <w:t>z</w:t>
      </w:r>
      <w:r w:rsidRPr="00A42E41">
        <w:rPr>
          <w:bCs/>
          <w:sz w:val="24"/>
          <w:szCs w:val="24"/>
        </w:rPr>
        <w:t>asada 7 dokumentu Zgromadzenia Ogólnego ONZ</w:t>
      </w:r>
      <w:r>
        <w:rPr>
          <w:bCs/>
          <w:sz w:val="24"/>
          <w:szCs w:val="24"/>
        </w:rPr>
        <w:t xml:space="preserve"> dot.</w:t>
      </w:r>
      <w:r w:rsidRPr="00A42E41">
        <w:rPr>
          <w:bCs/>
          <w:sz w:val="24"/>
          <w:szCs w:val="24"/>
        </w:rPr>
        <w:t xml:space="preserve"> </w:t>
      </w:r>
      <w:r>
        <w:rPr>
          <w:bCs/>
          <w:sz w:val="24"/>
          <w:szCs w:val="24"/>
        </w:rPr>
        <w:t>„</w:t>
      </w:r>
      <w:r w:rsidRPr="00A42E41">
        <w:rPr>
          <w:bCs/>
          <w:sz w:val="24"/>
          <w:szCs w:val="24"/>
        </w:rPr>
        <w:t>Podstawowych zasad i wytycznych dotyczących prawa do zadośćuczynienia</w:t>
      </w:r>
      <w:r>
        <w:rPr>
          <w:bCs/>
          <w:sz w:val="24"/>
          <w:szCs w:val="24"/>
        </w:rPr>
        <w:t>”</w:t>
      </w:r>
      <w:r w:rsidRPr="00A42E41">
        <w:rPr>
          <w:bCs/>
          <w:sz w:val="24"/>
          <w:szCs w:val="24"/>
        </w:rPr>
        <w:t xml:space="preserve"> stanowi, że krajowe terminy przedawnień innych rodzajów </w:t>
      </w:r>
      <w:r w:rsidRPr="00F37C0F">
        <w:rPr>
          <w:bCs/>
          <w:sz w:val="24"/>
          <w:szCs w:val="24"/>
        </w:rPr>
        <w:t xml:space="preserve">naruszeń, </w:t>
      </w:r>
      <w:r w:rsidRPr="005C2141">
        <w:rPr>
          <w:bCs/>
          <w:sz w:val="24"/>
          <w:szCs w:val="24"/>
        </w:rPr>
        <w:t>które nie stanowią przestępstwa na mocy prawa międzynarodowego, w tym przedawnienia mające zastosowanie do roszczeń cywilnych i innych procedur, nie powinny być zbyt restrykcyjne.</w:t>
      </w:r>
    </w:p>
    <w:p w:rsidR="00591EC1" w:rsidRPr="00A42E41" w:rsidRDefault="00591EC1" w:rsidP="00E7396B">
      <w:pPr>
        <w:pStyle w:val="Akapitzlist"/>
        <w:spacing w:before="120" w:after="120" w:line="240" w:lineRule="auto"/>
        <w:ind w:left="1069"/>
        <w:contextualSpacing w:val="0"/>
        <w:jc w:val="both"/>
        <w:rPr>
          <w:bCs/>
          <w:sz w:val="24"/>
          <w:szCs w:val="24"/>
        </w:rPr>
      </w:pPr>
    </w:p>
    <w:p w:rsidR="00591EC1" w:rsidRPr="008E76D2" w:rsidRDefault="00591EC1" w:rsidP="00E7396B">
      <w:pPr>
        <w:spacing w:before="120" w:after="120" w:line="240" w:lineRule="auto"/>
        <w:ind w:left="567"/>
        <w:jc w:val="both"/>
        <w:rPr>
          <w:bCs/>
          <w:i/>
          <w:sz w:val="24"/>
          <w:szCs w:val="24"/>
        </w:rPr>
      </w:pPr>
      <w:r w:rsidRPr="008E76D2">
        <w:rPr>
          <w:bCs/>
          <w:i/>
          <w:sz w:val="24"/>
          <w:szCs w:val="24"/>
        </w:rPr>
        <w:t xml:space="preserve">Środki administracyjne </w:t>
      </w:r>
    </w:p>
    <w:p w:rsidR="00591EC1" w:rsidRPr="00A42E41" w:rsidRDefault="00591EC1" w:rsidP="00E7396B">
      <w:pPr>
        <w:pStyle w:val="Akapitzlist"/>
        <w:numPr>
          <w:ilvl w:val="0"/>
          <w:numId w:val="19"/>
        </w:numPr>
        <w:spacing w:before="120" w:after="120" w:line="240" w:lineRule="auto"/>
        <w:ind w:left="567"/>
        <w:contextualSpacing w:val="0"/>
        <w:jc w:val="both"/>
        <w:rPr>
          <w:bCs/>
          <w:sz w:val="24"/>
          <w:szCs w:val="24"/>
        </w:rPr>
      </w:pPr>
      <w:r w:rsidRPr="00A42E41">
        <w:rPr>
          <w:bCs/>
          <w:sz w:val="24"/>
          <w:szCs w:val="24"/>
        </w:rPr>
        <w:t xml:space="preserve">Decyzje administracyjne </w:t>
      </w:r>
      <w:r>
        <w:rPr>
          <w:bCs/>
          <w:sz w:val="24"/>
          <w:szCs w:val="24"/>
        </w:rPr>
        <w:t>podejmowane</w:t>
      </w:r>
      <w:r w:rsidRPr="00A42E41">
        <w:rPr>
          <w:bCs/>
          <w:sz w:val="24"/>
          <w:szCs w:val="24"/>
        </w:rPr>
        <w:t xml:space="preserve"> przez państwa, takie jak udzielanie wsparcia, świadczenie usług lub przyznawanie zezwoleń na wywóz przedsiębiorstwom, mogą mieć potencjalnie negatywny wpływ na prawa człowieka. </w:t>
      </w:r>
      <w:r>
        <w:rPr>
          <w:bCs/>
          <w:sz w:val="24"/>
          <w:szCs w:val="24"/>
          <w:u w:val="single"/>
        </w:rPr>
        <w:t>P</w:t>
      </w:r>
      <w:r w:rsidRPr="008170D5">
        <w:rPr>
          <w:bCs/>
          <w:sz w:val="24"/>
          <w:szCs w:val="24"/>
          <w:u w:val="single"/>
        </w:rPr>
        <w:t>aragraf 47 Rekomendacji</w:t>
      </w:r>
      <w:r w:rsidRPr="00A42E41">
        <w:rPr>
          <w:bCs/>
          <w:sz w:val="24"/>
          <w:szCs w:val="24"/>
        </w:rPr>
        <w:t xml:space="preserve"> określa</w:t>
      </w:r>
      <w:r>
        <w:rPr>
          <w:bCs/>
          <w:sz w:val="24"/>
          <w:szCs w:val="24"/>
        </w:rPr>
        <w:t xml:space="preserve"> zatem</w:t>
      </w:r>
      <w:r w:rsidRPr="00A42E41">
        <w:rPr>
          <w:bCs/>
          <w:sz w:val="24"/>
          <w:szCs w:val="24"/>
        </w:rPr>
        <w:t xml:space="preserve"> standardy dla odpowiednich decyzji wydawanych przez właściwe organ</w:t>
      </w:r>
      <w:r>
        <w:rPr>
          <w:bCs/>
          <w:sz w:val="24"/>
          <w:szCs w:val="24"/>
        </w:rPr>
        <w:t>y</w:t>
      </w:r>
      <w:r w:rsidRPr="00A42E41">
        <w:rPr>
          <w:bCs/>
          <w:sz w:val="24"/>
          <w:szCs w:val="24"/>
        </w:rPr>
        <w:t xml:space="preserve"> poprzez zachęcanie państw członkowskich do stosowania takich środków ustawodawczych i innych, jakie mogą okazać się konieczne w celu zagwarantowania</w:t>
      </w:r>
      <w:r>
        <w:rPr>
          <w:bCs/>
          <w:sz w:val="24"/>
          <w:szCs w:val="24"/>
        </w:rPr>
        <w:t xml:space="preserve">, że </w:t>
      </w:r>
      <w:r w:rsidRPr="00A42E41">
        <w:rPr>
          <w:bCs/>
          <w:sz w:val="24"/>
          <w:szCs w:val="24"/>
        </w:rPr>
        <w:t>standardy te zostaną spełnione. Punkt (a) odnosi się do uwzględniania w decyzjach ryzyka związanego z naruszeniami praw człowieka, na przykład w oparciu o ocenę wpływu na prawa człowieka.</w:t>
      </w:r>
      <w:r w:rsidRPr="00A42E41">
        <w:rPr>
          <w:sz w:val="24"/>
          <w:szCs w:val="24"/>
        </w:rPr>
        <w:t xml:space="preserve"> Punkt</w:t>
      </w:r>
      <w:r>
        <w:rPr>
          <w:bCs/>
          <w:sz w:val="24"/>
          <w:szCs w:val="24"/>
        </w:rPr>
        <w:t xml:space="preserve"> (b) zaleca, aby </w:t>
      </w:r>
      <w:r w:rsidRPr="00A42E41">
        <w:rPr>
          <w:bCs/>
          <w:sz w:val="24"/>
          <w:szCs w:val="24"/>
        </w:rPr>
        <w:t xml:space="preserve">decyzje te były ujawniane w stosownych przypadkach. W związku z tym państwa członkowskie powinny odnosić się do </w:t>
      </w:r>
      <w:r w:rsidRPr="00746D46">
        <w:rPr>
          <w:bCs/>
          <w:sz w:val="24"/>
          <w:szCs w:val="24"/>
        </w:rPr>
        <w:t xml:space="preserve">Zaleceń OECD </w:t>
      </w:r>
      <w:proofErr w:type="spellStart"/>
      <w:r w:rsidRPr="00746D46">
        <w:rPr>
          <w:bCs/>
          <w:sz w:val="24"/>
          <w:szCs w:val="24"/>
        </w:rPr>
        <w:t>ws</w:t>
      </w:r>
      <w:proofErr w:type="spellEnd"/>
      <w:r w:rsidRPr="00746D46">
        <w:rPr>
          <w:bCs/>
          <w:sz w:val="24"/>
          <w:szCs w:val="24"/>
        </w:rPr>
        <w:t>. „</w:t>
      </w:r>
      <w:r>
        <w:rPr>
          <w:bCs/>
          <w:sz w:val="24"/>
          <w:szCs w:val="24"/>
        </w:rPr>
        <w:t>w</w:t>
      </w:r>
      <w:r w:rsidRPr="00746D46">
        <w:rPr>
          <w:bCs/>
          <w:sz w:val="24"/>
          <w:szCs w:val="24"/>
        </w:rPr>
        <w:t>spólnego podejścia” z 2012</w:t>
      </w:r>
      <w:r>
        <w:rPr>
          <w:bCs/>
          <w:sz w:val="24"/>
          <w:szCs w:val="24"/>
        </w:rPr>
        <w:t xml:space="preserve"> r.</w:t>
      </w:r>
      <w:r w:rsidRPr="00A42E41">
        <w:rPr>
          <w:bCs/>
          <w:sz w:val="24"/>
          <w:szCs w:val="24"/>
        </w:rPr>
        <w:t xml:space="preserve">, w których w ustępie 4 (v) wzywa się państwa członkowskie </w:t>
      </w:r>
      <w:r>
        <w:rPr>
          <w:bCs/>
          <w:sz w:val="24"/>
          <w:szCs w:val="24"/>
        </w:rPr>
        <w:t>„</w:t>
      </w:r>
      <w:r w:rsidRPr="00A42E41">
        <w:rPr>
          <w:bCs/>
          <w:sz w:val="24"/>
          <w:szCs w:val="24"/>
        </w:rPr>
        <w:t>do zwiększenia przejrzystości, przewidywalności i odpowiedzialności w podejmowaniu decyzji poprzez zachęcanie do ujawniania istotnych informacji</w:t>
      </w:r>
      <w:r>
        <w:rPr>
          <w:bCs/>
          <w:sz w:val="24"/>
          <w:szCs w:val="24"/>
        </w:rPr>
        <w:t xml:space="preserve"> o</w:t>
      </w:r>
      <w:r w:rsidRPr="00A42E41">
        <w:rPr>
          <w:bCs/>
          <w:sz w:val="24"/>
          <w:szCs w:val="24"/>
        </w:rPr>
        <w:t xml:space="preserve"> oddziaływ</w:t>
      </w:r>
      <w:r>
        <w:rPr>
          <w:bCs/>
          <w:sz w:val="24"/>
          <w:szCs w:val="24"/>
        </w:rPr>
        <w:t>aniu</w:t>
      </w:r>
      <w:r w:rsidRPr="00A42E41">
        <w:rPr>
          <w:bCs/>
          <w:sz w:val="24"/>
          <w:szCs w:val="24"/>
        </w:rPr>
        <w:t xml:space="preserve"> na środowisko i społeczeństwo, z uwzględnieniem wszelkich postanowień prawnych, tajemnicy handlowej i innych kwestii dotyczących konkurencji." Rozdział VII „</w:t>
      </w:r>
      <w:r>
        <w:rPr>
          <w:bCs/>
          <w:sz w:val="24"/>
          <w:szCs w:val="24"/>
        </w:rPr>
        <w:t>w</w:t>
      </w:r>
      <w:r w:rsidRPr="00A42E41">
        <w:rPr>
          <w:bCs/>
          <w:sz w:val="24"/>
          <w:szCs w:val="24"/>
        </w:rPr>
        <w:t xml:space="preserve">spólnego podejścia” określa szczegółowe zalecenia dotyczące wymiany i udostępniania informacji. </w:t>
      </w:r>
      <w:r>
        <w:rPr>
          <w:bCs/>
          <w:sz w:val="24"/>
          <w:szCs w:val="24"/>
        </w:rPr>
        <w:t>P</w:t>
      </w:r>
      <w:r w:rsidRPr="00A42E41">
        <w:rPr>
          <w:bCs/>
          <w:sz w:val="24"/>
          <w:szCs w:val="24"/>
        </w:rPr>
        <w:t xml:space="preserve">unkt (c) </w:t>
      </w:r>
      <w:r w:rsidRPr="008170D5">
        <w:rPr>
          <w:bCs/>
          <w:sz w:val="24"/>
          <w:szCs w:val="24"/>
          <w:u w:val="single"/>
        </w:rPr>
        <w:t>paragrafu 47 Rekomendacji</w:t>
      </w:r>
      <w:r w:rsidRPr="00A42E41">
        <w:rPr>
          <w:bCs/>
          <w:sz w:val="24"/>
          <w:szCs w:val="24"/>
        </w:rPr>
        <w:t xml:space="preserve"> </w:t>
      </w:r>
      <w:r>
        <w:rPr>
          <w:bCs/>
          <w:sz w:val="24"/>
          <w:szCs w:val="24"/>
        </w:rPr>
        <w:t xml:space="preserve">sugeruje wreszcie, </w:t>
      </w:r>
      <w:r w:rsidRPr="00A42E41">
        <w:rPr>
          <w:bCs/>
          <w:sz w:val="24"/>
          <w:szCs w:val="24"/>
        </w:rPr>
        <w:t xml:space="preserve">aby decyzje podlegały kontroli administracyjnej lub sądowej. W tym samym duchu </w:t>
      </w:r>
      <w:r w:rsidRPr="005B0626">
        <w:rPr>
          <w:bCs/>
          <w:sz w:val="24"/>
          <w:szCs w:val="24"/>
          <w:u w:val="single"/>
        </w:rPr>
        <w:t>paragraf 48 Rekomendacji</w:t>
      </w:r>
      <w:r w:rsidRPr="00A42E41">
        <w:rPr>
          <w:bCs/>
          <w:sz w:val="24"/>
          <w:szCs w:val="24"/>
        </w:rPr>
        <w:t xml:space="preserve"> zachęca </w:t>
      </w:r>
      <w:r w:rsidRPr="00A42E41">
        <w:rPr>
          <w:bCs/>
          <w:sz w:val="24"/>
          <w:szCs w:val="24"/>
        </w:rPr>
        <w:lastRenderedPageBreak/>
        <w:t>państwa członkowskie do wprowadzenia odpowiednich środków w celu zbadania wiarygodnych zarzutów naruszenia praw człowieka w związku z działalnością gospodarczą stanowiąc</w:t>
      </w:r>
      <w:r>
        <w:rPr>
          <w:bCs/>
          <w:sz w:val="24"/>
          <w:szCs w:val="24"/>
        </w:rPr>
        <w:t>ą</w:t>
      </w:r>
      <w:r w:rsidRPr="00A42E41">
        <w:rPr>
          <w:bCs/>
          <w:sz w:val="24"/>
          <w:szCs w:val="24"/>
        </w:rPr>
        <w:t xml:space="preserve"> podstawę powyższych decyzji.</w:t>
      </w:r>
    </w:p>
    <w:p w:rsidR="00591EC1" w:rsidRPr="00A42E41" w:rsidRDefault="00591EC1" w:rsidP="00E7396B">
      <w:pPr>
        <w:pStyle w:val="Akapitzlist"/>
        <w:spacing w:before="120" w:after="120" w:line="240" w:lineRule="auto"/>
        <w:ind w:left="1069"/>
        <w:contextualSpacing w:val="0"/>
        <w:jc w:val="both"/>
        <w:rPr>
          <w:bCs/>
          <w:sz w:val="24"/>
          <w:szCs w:val="24"/>
        </w:rPr>
      </w:pPr>
    </w:p>
    <w:p w:rsidR="00591EC1" w:rsidRPr="00A42E41" w:rsidRDefault="00591EC1" w:rsidP="00E7396B">
      <w:pPr>
        <w:pStyle w:val="Akapitzlist"/>
        <w:numPr>
          <w:ilvl w:val="0"/>
          <w:numId w:val="30"/>
        </w:numPr>
        <w:spacing w:before="120" w:after="120" w:line="240" w:lineRule="auto"/>
        <w:ind w:left="709" w:firstLine="0"/>
        <w:contextualSpacing w:val="0"/>
        <w:jc w:val="both"/>
        <w:rPr>
          <w:b/>
          <w:bCs/>
          <w:sz w:val="24"/>
          <w:szCs w:val="24"/>
        </w:rPr>
      </w:pPr>
      <w:r w:rsidRPr="00A42E41">
        <w:rPr>
          <w:b/>
          <w:bCs/>
          <w:sz w:val="24"/>
          <w:szCs w:val="24"/>
        </w:rPr>
        <w:t xml:space="preserve">Dostęp do mechanizmów pozasądowych </w:t>
      </w:r>
    </w:p>
    <w:p w:rsidR="00591EC1" w:rsidRPr="00A42E41" w:rsidRDefault="00591EC1" w:rsidP="00E7396B">
      <w:pPr>
        <w:spacing w:before="120" w:after="120" w:line="240" w:lineRule="auto"/>
        <w:ind w:left="567"/>
        <w:jc w:val="both"/>
        <w:rPr>
          <w:bCs/>
          <w:i/>
          <w:sz w:val="24"/>
          <w:szCs w:val="24"/>
        </w:rPr>
      </w:pPr>
      <w:r w:rsidRPr="00A42E41">
        <w:rPr>
          <w:bCs/>
          <w:i/>
          <w:sz w:val="24"/>
          <w:szCs w:val="24"/>
        </w:rPr>
        <w:t xml:space="preserve">Podnoszenie świadomości w zakresie mechanizmów pozasądowych </w:t>
      </w:r>
    </w:p>
    <w:p w:rsidR="00591EC1" w:rsidRPr="00A42E41" w:rsidRDefault="00591EC1" w:rsidP="00E7396B">
      <w:pPr>
        <w:pStyle w:val="Akapitzlist"/>
        <w:numPr>
          <w:ilvl w:val="0"/>
          <w:numId w:val="19"/>
        </w:numPr>
        <w:spacing w:before="120" w:after="120" w:line="240" w:lineRule="auto"/>
        <w:ind w:left="567"/>
        <w:contextualSpacing w:val="0"/>
        <w:jc w:val="both"/>
        <w:rPr>
          <w:bCs/>
          <w:sz w:val="24"/>
          <w:szCs w:val="24"/>
        </w:rPr>
      </w:pPr>
      <w:r w:rsidRPr="00A42E41">
        <w:rPr>
          <w:bCs/>
          <w:sz w:val="24"/>
          <w:szCs w:val="24"/>
        </w:rPr>
        <w:t xml:space="preserve">Oprócz dostępnych środków sądowych, pozasądowe mechanizmy rozpatrywania skarg służą jako dodatkowe </w:t>
      </w:r>
      <w:r w:rsidRPr="00F37C0F">
        <w:rPr>
          <w:bCs/>
          <w:sz w:val="24"/>
          <w:szCs w:val="24"/>
        </w:rPr>
        <w:t xml:space="preserve">alternatywne </w:t>
      </w:r>
      <w:r w:rsidRPr="005C2141">
        <w:rPr>
          <w:bCs/>
          <w:sz w:val="24"/>
          <w:szCs w:val="24"/>
        </w:rPr>
        <w:t>środki zaradcze wobec zarzucanych naruszeń praw człowieka z udziałem przedsiębiorstw</w:t>
      </w:r>
      <w:r w:rsidRPr="00F37C0F">
        <w:rPr>
          <w:bCs/>
          <w:sz w:val="24"/>
          <w:szCs w:val="24"/>
        </w:rPr>
        <w:t xml:space="preserve">. </w:t>
      </w:r>
      <w:r>
        <w:rPr>
          <w:bCs/>
          <w:sz w:val="24"/>
          <w:szCs w:val="24"/>
        </w:rPr>
        <w:t>Ś</w:t>
      </w:r>
      <w:r w:rsidRPr="00F37C0F">
        <w:rPr>
          <w:bCs/>
          <w:sz w:val="24"/>
          <w:szCs w:val="24"/>
        </w:rPr>
        <w:t>rodki</w:t>
      </w:r>
      <w:r>
        <w:rPr>
          <w:bCs/>
          <w:sz w:val="24"/>
          <w:szCs w:val="24"/>
        </w:rPr>
        <w:t xml:space="preserve"> takie</w:t>
      </w:r>
      <w:r w:rsidRPr="00F37C0F">
        <w:rPr>
          <w:bCs/>
          <w:sz w:val="24"/>
          <w:szCs w:val="24"/>
        </w:rPr>
        <w:t xml:space="preserve"> mogą być państwowe lub niepaństwowe (na przykład te </w:t>
      </w:r>
      <w:r>
        <w:rPr>
          <w:bCs/>
          <w:sz w:val="24"/>
          <w:szCs w:val="24"/>
        </w:rPr>
        <w:t>w</w:t>
      </w:r>
      <w:r w:rsidRPr="00F37C0F">
        <w:rPr>
          <w:bCs/>
          <w:sz w:val="24"/>
          <w:szCs w:val="24"/>
        </w:rPr>
        <w:t>prowadzone</w:t>
      </w:r>
      <w:r w:rsidRPr="00A42E41">
        <w:rPr>
          <w:bCs/>
          <w:sz w:val="24"/>
          <w:szCs w:val="24"/>
        </w:rPr>
        <w:t xml:space="preserve"> przez przedsiębiorstwo, zrzeszenia przemysłowe lub</w:t>
      </w:r>
      <w:r w:rsidRPr="00A42E41">
        <w:rPr>
          <w:sz w:val="24"/>
          <w:szCs w:val="24"/>
        </w:rPr>
        <w:t xml:space="preserve"> </w:t>
      </w:r>
      <w:r w:rsidRPr="00A42E41">
        <w:rPr>
          <w:bCs/>
          <w:sz w:val="24"/>
          <w:szCs w:val="24"/>
        </w:rPr>
        <w:t xml:space="preserve">grupy wielostronne). </w:t>
      </w:r>
      <w:r>
        <w:rPr>
          <w:bCs/>
          <w:sz w:val="24"/>
          <w:szCs w:val="24"/>
        </w:rPr>
        <w:t>Ś</w:t>
      </w:r>
      <w:r w:rsidRPr="00A42E41">
        <w:rPr>
          <w:bCs/>
          <w:sz w:val="24"/>
          <w:szCs w:val="24"/>
        </w:rPr>
        <w:t xml:space="preserve">rodki </w:t>
      </w:r>
      <w:r>
        <w:rPr>
          <w:bCs/>
          <w:sz w:val="24"/>
          <w:szCs w:val="24"/>
        </w:rPr>
        <w:t>p</w:t>
      </w:r>
      <w:r w:rsidRPr="00A42E41">
        <w:rPr>
          <w:bCs/>
          <w:sz w:val="24"/>
          <w:szCs w:val="24"/>
        </w:rPr>
        <w:t>ozasądowe obejmują rzeczników praw obywatelskich, krajowe instytucje praw człowieka, arbitraż, mediację i mechanizmy rozpatrywania skarg, krajowe punkty kontaktowe ustanowione na mocy Wytycznych OECD dla przedsiębiorstw wielonarodowych, inspektoraty pracy, sądy pracy (w przypadku gdy sprawują funkcję pojednawczą, a nie sądową),</w:t>
      </w:r>
      <w:r w:rsidRPr="00A42E41">
        <w:rPr>
          <w:sz w:val="24"/>
          <w:szCs w:val="24"/>
        </w:rPr>
        <w:t xml:space="preserve"> </w:t>
      </w:r>
      <w:r w:rsidRPr="00A42E41">
        <w:rPr>
          <w:bCs/>
          <w:sz w:val="24"/>
          <w:szCs w:val="24"/>
        </w:rPr>
        <w:t xml:space="preserve">urzędy ochrony konsumentów lub krajowe organy do spraw równości. </w:t>
      </w:r>
      <w:r w:rsidRPr="005B0626">
        <w:rPr>
          <w:bCs/>
          <w:sz w:val="24"/>
          <w:szCs w:val="24"/>
          <w:u w:val="single"/>
        </w:rPr>
        <w:t>Paragraf 49 Rekomendacji</w:t>
      </w:r>
      <w:r w:rsidRPr="00A42E41">
        <w:rPr>
          <w:bCs/>
          <w:sz w:val="24"/>
          <w:szCs w:val="24"/>
        </w:rPr>
        <w:t xml:space="preserve"> zachęca państwa członkowskie do podnoszenia świadomości i dzielenia się wiedzą nt. dostępnych pozasądowych mechanizmów rozpatrywania skarg.</w:t>
      </w:r>
      <w:r w:rsidRPr="00A42E41">
        <w:rPr>
          <w:sz w:val="24"/>
          <w:szCs w:val="24"/>
        </w:rPr>
        <w:t xml:space="preserve"> </w:t>
      </w:r>
    </w:p>
    <w:p w:rsidR="00591EC1" w:rsidRPr="00A42E41" w:rsidRDefault="00591EC1" w:rsidP="00E7396B">
      <w:pPr>
        <w:pStyle w:val="Akapitzlist"/>
        <w:spacing w:before="120" w:after="120" w:line="240" w:lineRule="auto"/>
        <w:ind w:left="1069"/>
        <w:contextualSpacing w:val="0"/>
        <w:jc w:val="both"/>
        <w:rPr>
          <w:sz w:val="24"/>
          <w:szCs w:val="24"/>
        </w:rPr>
      </w:pPr>
    </w:p>
    <w:p w:rsidR="00591EC1" w:rsidRPr="00A42E41" w:rsidRDefault="00591EC1" w:rsidP="00E7396B">
      <w:pPr>
        <w:spacing w:before="120" w:after="120" w:line="240" w:lineRule="auto"/>
        <w:ind w:left="567"/>
        <w:jc w:val="both"/>
        <w:rPr>
          <w:i/>
          <w:sz w:val="24"/>
          <w:szCs w:val="24"/>
        </w:rPr>
      </w:pPr>
      <w:r w:rsidRPr="000F5898">
        <w:rPr>
          <w:bCs/>
          <w:i/>
          <w:sz w:val="24"/>
          <w:szCs w:val="24"/>
        </w:rPr>
        <w:t>Kryteria</w:t>
      </w:r>
      <w:r w:rsidRPr="00A42E41">
        <w:rPr>
          <w:i/>
          <w:sz w:val="24"/>
          <w:szCs w:val="24"/>
        </w:rPr>
        <w:t xml:space="preserve"> efektywności</w:t>
      </w:r>
    </w:p>
    <w:p w:rsidR="00591EC1" w:rsidRDefault="00591EC1" w:rsidP="00E7396B">
      <w:pPr>
        <w:pStyle w:val="Akapitzlist"/>
        <w:numPr>
          <w:ilvl w:val="0"/>
          <w:numId w:val="19"/>
        </w:numPr>
        <w:spacing w:before="120" w:after="120" w:line="240" w:lineRule="auto"/>
        <w:ind w:left="567"/>
        <w:contextualSpacing w:val="0"/>
        <w:jc w:val="both"/>
        <w:rPr>
          <w:bCs/>
          <w:sz w:val="24"/>
          <w:szCs w:val="24"/>
        </w:rPr>
      </w:pPr>
      <w:r w:rsidRPr="00A42E41">
        <w:rPr>
          <w:bCs/>
          <w:sz w:val="24"/>
          <w:szCs w:val="24"/>
        </w:rPr>
        <w:t>Zasada 31 Wytycznych ONZ ustanawia pewne kryteria skuteczności mechanizmów pozasądowych, niezależnie od tego, czy są to mechanizmy państwowe. Kryteria te są następujące: odpowiedni</w:t>
      </w:r>
      <w:r>
        <w:rPr>
          <w:bCs/>
          <w:sz w:val="24"/>
          <w:szCs w:val="24"/>
        </w:rPr>
        <w:t>e</w:t>
      </w:r>
      <w:r w:rsidRPr="00A42E41">
        <w:rPr>
          <w:bCs/>
          <w:sz w:val="24"/>
          <w:szCs w:val="24"/>
        </w:rPr>
        <w:t xml:space="preserve"> umocowan</w:t>
      </w:r>
      <w:r>
        <w:rPr>
          <w:bCs/>
          <w:sz w:val="24"/>
          <w:szCs w:val="24"/>
        </w:rPr>
        <w:t>i</w:t>
      </w:r>
      <w:r w:rsidRPr="00A42E41">
        <w:rPr>
          <w:bCs/>
          <w:sz w:val="24"/>
          <w:szCs w:val="24"/>
        </w:rPr>
        <w:t>e i rzeteln</w:t>
      </w:r>
      <w:r>
        <w:rPr>
          <w:bCs/>
          <w:sz w:val="24"/>
          <w:szCs w:val="24"/>
        </w:rPr>
        <w:t>ość</w:t>
      </w:r>
      <w:r w:rsidRPr="00A42E41">
        <w:rPr>
          <w:bCs/>
          <w:sz w:val="24"/>
          <w:szCs w:val="24"/>
        </w:rPr>
        <w:t>, dostępn</w:t>
      </w:r>
      <w:r>
        <w:rPr>
          <w:bCs/>
          <w:sz w:val="24"/>
          <w:szCs w:val="24"/>
        </w:rPr>
        <w:t>ość</w:t>
      </w:r>
      <w:r w:rsidRPr="00A42E41">
        <w:rPr>
          <w:bCs/>
          <w:sz w:val="24"/>
          <w:szCs w:val="24"/>
        </w:rPr>
        <w:t>, przewidywaln</w:t>
      </w:r>
      <w:r>
        <w:rPr>
          <w:bCs/>
          <w:sz w:val="24"/>
          <w:szCs w:val="24"/>
        </w:rPr>
        <w:t>ość</w:t>
      </w:r>
      <w:r w:rsidRPr="00A42E41">
        <w:rPr>
          <w:bCs/>
          <w:sz w:val="24"/>
          <w:szCs w:val="24"/>
        </w:rPr>
        <w:t>, sprawiedliw</w:t>
      </w:r>
      <w:r>
        <w:rPr>
          <w:bCs/>
          <w:sz w:val="24"/>
          <w:szCs w:val="24"/>
        </w:rPr>
        <w:t>ość</w:t>
      </w:r>
      <w:r w:rsidRPr="00A42E41">
        <w:rPr>
          <w:bCs/>
          <w:sz w:val="24"/>
          <w:szCs w:val="24"/>
        </w:rPr>
        <w:t>, przejrzyst</w:t>
      </w:r>
      <w:r>
        <w:rPr>
          <w:bCs/>
          <w:sz w:val="24"/>
          <w:szCs w:val="24"/>
        </w:rPr>
        <w:t>ość oraz</w:t>
      </w:r>
      <w:r w:rsidRPr="00A42E41">
        <w:rPr>
          <w:bCs/>
          <w:sz w:val="24"/>
          <w:szCs w:val="24"/>
        </w:rPr>
        <w:t xml:space="preserve"> zgodn</w:t>
      </w:r>
      <w:r>
        <w:rPr>
          <w:bCs/>
          <w:sz w:val="24"/>
          <w:szCs w:val="24"/>
        </w:rPr>
        <w:t>ość</w:t>
      </w:r>
      <w:r w:rsidRPr="00A42E41">
        <w:rPr>
          <w:bCs/>
          <w:sz w:val="24"/>
          <w:szCs w:val="24"/>
        </w:rPr>
        <w:t xml:space="preserve"> z prawami człowieka.</w:t>
      </w:r>
      <w:r w:rsidRPr="00A42E41">
        <w:rPr>
          <w:rStyle w:val="Odwoanieprzypisukocowego"/>
          <w:bCs/>
          <w:sz w:val="24"/>
          <w:szCs w:val="24"/>
        </w:rPr>
        <w:endnoteReference w:id="40"/>
      </w:r>
      <w:r w:rsidRPr="00A42E41">
        <w:rPr>
          <w:bCs/>
          <w:sz w:val="24"/>
          <w:szCs w:val="24"/>
        </w:rPr>
        <w:t xml:space="preserve"> W tym zakresie należy również zwrócić uwagę na </w:t>
      </w:r>
      <w:r>
        <w:rPr>
          <w:bCs/>
          <w:sz w:val="24"/>
          <w:szCs w:val="24"/>
        </w:rPr>
        <w:t>k</w:t>
      </w:r>
      <w:r w:rsidRPr="00A42E41">
        <w:rPr>
          <w:bCs/>
          <w:sz w:val="24"/>
          <w:szCs w:val="24"/>
        </w:rPr>
        <w:t>omentarz do zasady 31 Wytycznych, który stanowi, że tam, gdzie niezbędne jest rozstrzygnięcie sporu, powinno się ono odbyć w ramach procedury przeprowadzonej przez</w:t>
      </w:r>
      <w:r w:rsidRPr="00A42E41">
        <w:rPr>
          <w:sz w:val="24"/>
          <w:szCs w:val="24"/>
        </w:rPr>
        <w:t xml:space="preserve"> </w:t>
      </w:r>
      <w:r w:rsidRPr="00A42E41">
        <w:rPr>
          <w:bCs/>
          <w:sz w:val="24"/>
          <w:szCs w:val="24"/>
        </w:rPr>
        <w:t>rzetelną, odpowiednio umocowaną i niezależną stronę trzecią, ponieważ przedsiębiorstwo nie może jednocześnie być przedmiotem skarg</w:t>
      </w:r>
      <w:r>
        <w:rPr>
          <w:bCs/>
          <w:sz w:val="24"/>
          <w:szCs w:val="24"/>
        </w:rPr>
        <w:t>i</w:t>
      </w:r>
      <w:r w:rsidRPr="00A42E41">
        <w:rPr>
          <w:bCs/>
          <w:sz w:val="24"/>
          <w:szCs w:val="24"/>
        </w:rPr>
        <w:t xml:space="preserve"> i jednostronnie decydować o wyniku jej rozstrzygnięcia.</w:t>
      </w:r>
      <w:r w:rsidRPr="00A42E41">
        <w:rPr>
          <w:rStyle w:val="Odwoanieprzypisukocowego"/>
          <w:bCs/>
          <w:sz w:val="24"/>
          <w:szCs w:val="24"/>
        </w:rPr>
        <w:endnoteReference w:id="41"/>
      </w:r>
      <w:r w:rsidRPr="00A42E41">
        <w:rPr>
          <w:bCs/>
          <w:sz w:val="24"/>
          <w:szCs w:val="24"/>
        </w:rPr>
        <w:t xml:space="preserve"> </w:t>
      </w:r>
      <w:r w:rsidRPr="005B0626">
        <w:rPr>
          <w:bCs/>
          <w:sz w:val="24"/>
          <w:szCs w:val="24"/>
          <w:u w:val="single"/>
        </w:rPr>
        <w:t>Paragraf 50 Rekomendacji</w:t>
      </w:r>
      <w:r w:rsidRPr="00A42E41">
        <w:rPr>
          <w:bCs/>
          <w:sz w:val="24"/>
          <w:szCs w:val="24"/>
        </w:rPr>
        <w:t xml:space="preserve"> przypomina, </w:t>
      </w:r>
      <w:r w:rsidRPr="00746D46">
        <w:rPr>
          <w:bCs/>
          <w:sz w:val="24"/>
          <w:szCs w:val="24"/>
        </w:rPr>
        <w:t xml:space="preserve">że państwowe mechanizmy pozasądowe państw członkowskich powinny spełniać te kryteria, oraz że państwa powinny zachęcać niepaństwowe pozasądowe mechanizmy do spełnienia powyższych kryteriów skuteczności. </w:t>
      </w:r>
      <w:r w:rsidRPr="00746D46">
        <w:rPr>
          <w:bCs/>
          <w:sz w:val="24"/>
          <w:szCs w:val="24"/>
          <w:u w:val="single"/>
        </w:rPr>
        <w:t>Paragraf 54 Rekomendacji</w:t>
      </w:r>
      <w:r>
        <w:rPr>
          <w:bCs/>
          <w:sz w:val="24"/>
          <w:szCs w:val="24"/>
        </w:rPr>
        <w:t xml:space="preserve"> ponadto </w:t>
      </w:r>
      <w:r w:rsidRPr="00746D46">
        <w:rPr>
          <w:bCs/>
          <w:sz w:val="24"/>
          <w:szCs w:val="24"/>
        </w:rPr>
        <w:t>zachęca przedsiębiorstwa do ustanowienia takich mechanizmów jako uzupe</w:t>
      </w:r>
      <w:r>
        <w:rPr>
          <w:bCs/>
          <w:sz w:val="24"/>
          <w:szCs w:val="24"/>
        </w:rPr>
        <w:t xml:space="preserve">łnienie </w:t>
      </w:r>
      <w:r w:rsidRPr="00746D46">
        <w:rPr>
          <w:bCs/>
          <w:sz w:val="24"/>
          <w:szCs w:val="24"/>
        </w:rPr>
        <w:t xml:space="preserve">dostępu domniemanych ofiar do krajowego systemu sądowego lub państwowych mechanizmów pozasądowych. </w:t>
      </w:r>
      <w:r w:rsidRPr="00746D46">
        <w:rPr>
          <w:bCs/>
          <w:sz w:val="24"/>
          <w:szCs w:val="24"/>
          <w:u w:val="single"/>
        </w:rPr>
        <w:t>Paragraf 51 Rekomendacji</w:t>
      </w:r>
      <w:r w:rsidRPr="00746D46">
        <w:rPr>
          <w:bCs/>
          <w:sz w:val="24"/>
          <w:szCs w:val="24"/>
        </w:rPr>
        <w:t xml:space="preserve"> zachęca państwa członkowskie do regularnej oceny i analizy ich pozasądowych mechanizmów rozpatrywania skarg, a w miarę potrzeby do rozszerzenia ich mandatu lub stworzenia odpowiednich mechanizmów, jeżeli takich jeszcze nie wprowadzono.</w:t>
      </w:r>
    </w:p>
    <w:p w:rsidR="00A52948" w:rsidRPr="00746D46" w:rsidRDefault="00A52948" w:rsidP="00A52948">
      <w:pPr>
        <w:pStyle w:val="Akapitzlist"/>
        <w:spacing w:before="120" w:after="120" w:line="240" w:lineRule="auto"/>
        <w:ind w:left="567"/>
        <w:contextualSpacing w:val="0"/>
        <w:jc w:val="both"/>
        <w:rPr>
          <w:bCs/>
          <w:sz w:val="24"/>
          <w:szCs w:val="24"/>
        </w:rPr>
      </w:pPr>
    </w:p>
    <w:p w:rsidR="00591EC1" w:rsidRPr="00746D46" w:rsidRDefault="00591EC1" w:rsidP="00E7396B">
      <w:pPr>
        <w:spacing w:before="120" w:after="120" w:line="240" w:lineRule="auto"/>
        <w:ind w:left="567"/>
        <w:jc w:val="both"/>
        <w:rPr>
          <w:bCs/>
          <w:i/>
          <w:sz w:val="24"/>
          <w:szCs w:val="24"/>
        </w:rPr>
      </w:pPr>
      <w:r w:rsidRPr="00746D46">
        <w:rPr>
          <w:bCs/>
          <w:i/>
          <w:sz w:val="24"/>
          <w:szCs w:val="24"/>
        </w:rPr>
        <w:t>Wytyczne OECD dla przedsiębiorstw wielonarodowych</w:t>
      </w:r>
    </w:p>
    <w:p w:rsidR="00591EC1" w:rsidRPr="00746D46" w:rsidRDefault="00591EC1" w:rsidP="00E7396B">
      <w:pPr>
        <w:pStyle w:val="Akapitzlist"/>
        <w:numPr>
          <w:ilvl w:val="0"/>
          <w:numId w:val="19"/>
        </w:numPr>
        <w:spacing w:before="120" w:after="120" w:line="240" w:lineRule="auto"/>
        <w:ind w:left="567"/>
        <w:contextualSpacing w:val="0"/>
        <w:jc w:val="both"/>
        <w:rPr>
          <w:bCs/>
          <w:sz w:val="24"/>
          <w:szCs w:val="24"/>
        </w:rPr>
      </w:pPr>
      <w:r w:rsidRPr="00746D46">
        <w:rPr>
          <w:bCs/>
          <w:sz w:val="24"/>
          <w:szCs w:val="24"/>
          <w:u w:val="single"/>
        </w:rPr>
        <w:t>Paragraf 52 Rekomendacji</w:t>
      </w:r>
      <w:r w:rsidRPr="00746D46">
        <w:rPr>
          <w:bCs/>
          <w:sz w:val="24"/>
          <w:szCs w:val="24"/>
        </w:rPr>
        <w:t xml:space="preserve"> przewiduje, że państwa członkowskie, które jeszcze tego nie uczyniły</w:t>
      </w:r>
      <w:r>
        <w:rPr>
          <w:bCs/>
          <w:sz w:val="24"/>
          <w:szCs w:val="24"/>
        </w:rPr>
        <w:t>,</w:t>
      </w:r>
      <w:r w:rsidRPr="00746D46">
        <w:rPr>
          <w:sz w:val="24"/>
          <w:szCs w:val="24"/>
        </w:rPr>
        <w:t xml:space="preserve"> </w:t>
      </w:r>
      <w:r w:rsidRPr="00746D46">
        <w:rPr>
          <w:bCs/>
          <w:sz w:val="24"/>
          <w:szCs w:val="24"/>
        </w:rPr>
        <w:t>powinny podjąć kroki w celu przystąpienia</w:t>
      </w:r>
      <w:r>
        <w:rPr>
          <w:bCs/>
          <w:sz w:val="24"/>
          <w:szCs w:val="24"/>
        </w:rPr>
        <w:t xml:space="preserve"> do</w:t>
      </w:r>
      <w:r w:rsidRPr="00746D46">
        <w:rPr>
          <w:bCs/>
          <w:sz w:val="24"/>
          <w:szCs w:val="24"/>
        </w:rPr>
        <w:t xml:space="preserve"> i/lub wdrożenia Wytycznych dla </w:t>
      </w:r>
      <w:r w:rsidRPr="00746D46">
        <w:rPr>
          <w:bCs/>
          <w:sz w:val="24"/>
          <w:szCs w:val="24"/>
        </w:rPr>
        <w:lastRenderedPageBreak/>
        <w:t xml:space="preserve">przedsiębiorstw wielonarodowych Organizacji Współpracy Gospodarczej i Rozwoju (dalej: Wytyczne OECD). Przyjęte w 1976 r. jako odpowiedź na zwiększającą się aktywność przedsiębiorstw z państw członkowskich OECD w krajach rozwijających się, Wytyczne OECD stanowią zbiór dobrowolnych zaleceń dla przedsiębiorstw wielonarodowych we wszystkich głównych obszarach etyki biznesu. </w:t>
      </w:r>
      <w:r>
        <w:rPr>
          <w:bCs/>
          <w:sz w:val="24"/>
          <w:szCs w:val="24"/>
        </w:rPr>
        <w:t>Były</w:t>
      </w:r>
      <w:r w:rsidRPr="00746D46">
        <w:rPr>
          <w:bCs/>
          <w:sz w:val="24"/>
          <w:szCs w:val="24"/>
        </w:rPr>
        <w:t xml:space="preserve"> aktual</w:t>
      </w:r>
      <w:r>
        <w:rPr>
          <w:bCs/>
          <w:sz w:val="24"/>
          <w:szCs w:val="24"/>
        </w:rPr>
        <w:t>izowane</w:t>
      </w:r>
      <w:r w:rsidRPr="00746D46">
        <w:rPr>
          <w:bCs/>
          <w:sz w:val="24"/>
          <w:szCs w:val="24"/>
        </w:rPr>
        <w:t xml:space="preserve"> pię</w:t>
      </w:r>
      <w:r>
        <w:rPr>
          <w:bCs/>
          <w:sz w:val="24"/>
          <w:szCs w:val="24"/>
        </w:rPr>
        <w:t xml:space="preserve">ciokrotnie, po raz </w:t>
      </w:r>
      <w:r w:rsidRPr="00746D46">
        <w:rPr>
          <w:bCs/>
          <w:sz w:val="24"/>
          <w:szCs w:val="24"/>
        </w:rPr>
        <w:t xml:space="preserve">ostatni w 2011 r., kiedy dodano specjalny rozdział dotyczący kwestii związanych z prawami człowieka, który opiera się na Wytycznych ONZ. Ponadto Proaktywny </w:t>
      </w:r>
      <w:r>
        <w:rPr>
          <w:bCs/>
          <w:sz w:val="24"/>
          <w:szCs w:val="24"/>
        </w:rPr>
        <w:t>p</w:t>
      </w:r>
      <w:r w:rsidRPr="00746D46">
        <w:rPr>
          <w:bCs/>
          <w:sz w:val="24"/>
          <w:szCs w:val="24"/>
        </w:rPr>
        <w:t xml:space="preserve">rogram w zakresie Wytycznych OECD ma na celu wyjaśnienie wytycznych dla poszczególnych sektorów, takich jak sektor finansowy, sektor wydobywczy, sektor rolnictwa i przemysłu tekstylnego. </w:t>
      </w:r>
      <w:r>
        <w:rPr>
          <w:bCs/>
          <w:sz w:val="24"/>
          <w:szCs w:val="24"/>
        </w:rPr>
        <w:t>D</w:t>
      </w:r>
      <w:r w:rsidRPr="00746D46">
        <w:rPr>
          <w:bCs/>
          <w:sz w:val="24"/>
          <w:szCs w:val="24"/>
        </w:rPr>
        <w:t>o tej pory dwadzieścia siedem państw członkowskich Rady Europy złożył</w:t>
      </w:r>
      <w:r>
        <w:rPr>
          <w:bCs/>
          <w:sz w:val="24"/>
          <w:szCs w:val="24"/>
        </w:rPr>
        <w:t>o</w:t>
      </w:r>
      <w:r w:rsidRPr="00746D46">
        <w:rPr>
          <w:bCs/>
          <w:sz w:val="24"/>
          <w:szCs w:val="24"/>
        </w:rPr>
        <w:t xml:space="preserve"> deklarację przystąpienia do </w:t>
      </w:r>
      <w:r>
        <w:rPr>
          <w:bCs/>
          <w:sz w:val="24"/>
          <w:szCs w:val="24"/>
        </w:rPr>
        <w:t>W</w:t>
      </w:r>
      <w:r w:rsidRPr="00746D46">
        <w:rPr>
          <w:bCs/>
          <w:sz w:val="24"/>
          <w:szCs w:val="24"/>
        </w:rPr>
        <w:t xml:space="preserve">ytycznych, które są również otwarte do przystąpienia </w:t>
      </w:r>
      <w:r>
        <w:rPr>
          <w:bCs/>
          <w:sz w:val="24"/>
          <w:szCs w:val="24"/>
        </w:rPr>
        <w:t>dla</w:t>
      </w:r>
      <w:r w:rsidRPr="00746D46">
        <w:rPr>
          <w:bCs/>
          <w:sz w:val="24"/>
          <w:szCs w:val="24"/>
        </w:rPr>
        <w:t xml:space="preserve"> państw niebędąc</w:t>
      </w:r>
      <w:r>
        <w:rPr>
          <w:bCs/>
          <w:sz w:val="24"/>
          <w:szCs w:val="24"/>
        </w:rPr>
        <w:t>ych</w:t>
      </w:r>
      <w:r w:rsidRPr="00746D46">
        <w:rPr>
          <w:bCs/>
          <w:sz w:val="24"/>
          <w:szCs w:val="24"/>
        </w:rPr>
        <w:t xml:space="preserve"> członkami OECD.</w:t>
      </w:r>
    </w:p>
    <w:p w:rsidR="00591EC1" w:rsidRPr="00746D46" w:rsidRDefault="00591EC1" w:rsidP="00E7396B">
      <w:pPr>
        <w:pStyle w:val="Akapitzlist"/>
        <w:numPr>
          <w:ilvl w:val="0"/>
          <w:numId w:val="19"/>
        </w:numPr>
        <w:spacing w:before="120" w:after="120" w:line="240" w:lineRule="auto"/>
        <w:ind w:left="567"/>
        <w:contextualSpacing w:val="0"/>
        <w:jc w:val="both"/>
        <w:rPr>
          <w:bCs/>
          <w:sz w:val="24"/>
          <w:szCs w:val="24"/>
        </w:rPr>
      </w:pPr>
      <w:r w:rsidRPr="00746D46">
        <w:rPr>
          <w:bCs/>
          <w:sz w:val="24"/>
          <w:szCs w:val="24"/>
        </w:rPr>
        <w:t>Wytyczne OECD dotyczą funkcjonowania przedsiębiorstw wielonarodowych na</w:t>
      </w:r>
      <w:r>
        <w:rPr>
          <w:bCs/>
          <w:sz w:val="24"/>
          <w:szCs w:val="24"/>
        </w:rPr>
        <w:t xml:space="preserve"> terytoriach</w:t>
      </w:r>
      <w:r w:rsidRPr="00746D46">
        <w:rPr>
          <w:bCs/>
          <w:sz w:val="24"/>
          <w:szCs w:val="24"/>
        </w:rPr>
        <w:t xml:space="preserve"> lub z terytoriów państw, które do nich przystąpiły, przede wszystkim poprzez działalność Krajowych Punktów Kontaktowych (KPK). Są to mechanizmy odpowiedzialne za promowanie wytycznych i obsługę zapytań w kontekście krajowym, jak również za współpracę z KPK z innych krajów w sprawach o</w:t>
      </w:r>
      <w:r>
        <w:rPr>
          <w:bCs/>
          <w:sz w:val="24"/>
          <w:szCs w:val="24"/>
        </w:rPr>
        <w:t>sadzonych w</w:t>
      </w:r>
      <w:r w:rsidRPr="00746D46">
        <w:rPr>
          <w:bCs/>
          <w:sz w:val="24"/>
          <w:szCs w:val="24"/>
        </w:rPr>
        <w:t xml:space="preserve"> kontekście eksterytorialnym. Ponadto KPK pomagają przedsiębiorstwom i ich interesariuszom w podjęciu odpowiednich działań w kwestiach związanych z prawami człowieka</w:t>
      </w:r>
      <w:r>
        <w:rPr>
          <w:bCs/>
          <w:sz w:val="24"/>
          <w:szCs w:val="24"/>
        </w:rPr>
        <w:t>, zapewniając platformę</w:t>
      </w:r>
      <w:r w:rsidRPr="00746D46">
        <w:rPr>
          <w:bCs/>
          <w:sz w:val="24"/>
          <w:szCs w:val="24"/>
        </w:rPr>
        <w:t xml:space="preserve"> mediacyjn</w:t>
      </w:r>
      <w:r>
        <w:rPr>
          <w:bCs/>
          <w:sz w:val="24"/>
          <w:szCs w:val="24"/>
        </w:rPr>
        <w:t>ą</w:t>
      </w:r>
      <w:r w:rsidRPr="00746D46">
        <w:rPr>
          <w:bCs/>
          <w:sz w:val="24"/>
          <w:szCs w:val="24"/>
        </w:rPr>
        <w:t xml:space="preserve"> i pojednawcz</w:t>
      </w:r>
      <w:r>
        <w:rPr>
          <w:bCs/>
          <w:sz w:val="24"/>
          <w:szCs w:val="24"/>
        </w:rPr>
        <w:t>ą</w:t>
      </w:r>
      <w:r w:rsidRPr="00746D46">
        <w:rPr>
          <w:bCs/>
          <w:sz w:val="24"/>
          <w:szCs w:val="24"/>
        </w:rPr>
        <w:t xml:space="preserve">. </w:t>
      </w:r>
      <w:r>
        <w:rPr>
          <w:bCs/>
          <w:sz w:val="24"/>
          <w:szCs w:val="24"/>
        </w:rPr>
        <w:t>S</w:t>
      </w:r>
      <w:r w:rsidRPr="00746D46">
        <w:rPr>
          <w:bCs/>
          <w:sz w:val="24"/>
          <w:szCs w:val="24"/>
        </w:rPr>
        <w:t>kargę</w:t>
      </w:r>
      <w:r>
        <w:rPr>
          <w:bCs/>
          <w:sz w:val="24"/>
          <w:szCs w:val="24"/>
        </w:rPr>
        <w:t xml:space="preserve"> złożyć może</w:t>
      </w:r>
      <w:r w:rsidRPr="00746D46">
        <w:rPr>
          <w:bCs/>
          <w:sz w:val="24"/>
          <w:szCs w:val="24"/>
        </w:rPr>
        <w:t xml:space="preserve"> </w:t>
      </w:r>
      <w:r>
        <w:rPr>
          <w:bCs/>
          <w:sz w:val="24"/>
          <w:szCs w:val="24"/>
        </w:rPr>
        <w:t>k</w:t>
      </w:r>
      <w:r w:rsidRPr="00746D46">
        <w:rPr>
          <w:bCs/>
          <w:sz w:val="24"/>
          <w:szCs w:val="24"/>
        </w:rPr>
        <w:t xml:space="preserve">ażda osoba, organizacja pozarządowa lub związek zawodowy. W zależności od tego, czy mediacja między stronami się powiedzie, KPK sporządzi sprawozdanie </w:t>
      </w:r>
      <w:r>
        <w:rPr>
          <w:bCs/>
          <w:sz w:val="24"/>
          <w:szCs w:val="24"/>
        </w:rPr>
        <w:t>lub</w:t>
      </w:r>
      <w:r w:rsidRPr="00746D46">
        <w:rPr>
          <w:bCs/>
          <w:sz w:val="24"/>
          <w:szCs w:val="24"/>
        </w:rPr>
        <w:t xml:space="preserve"> wyda zalecenia dla zainteresowanych stron, choć nie</w:t>
      </w:r>
      <w:r>
        <w:rPr>
          <w:bCs/>
          <w:sz w:val="24"/>
          <w:szCs w:val="24"/>
        </w:rPr>
        <w:t xml:space="preserve"> istnieje</w:t>
      </w:r>
      <w:r w:rsidRPr="00746D46">
        <w:rPr>
          <w:bCs/>
          <w:sz w:val="24"/>
          <w:szCs w:val="24"/>
        </w:rPr>
        <w:t xml:space="preserve"> obowiąz</w:t>
      </w:r>
      <w:r>
        <w:rPr>
          <w:bCs/>
          <w:sz w:val="24"/>
          <w:szCs w:val="24"/>
        </w:rPr>
        <w:t>e</w:t>
      </w:r>
      <w:r w:rsidRPr="00746D46">
        <w:rPr>
          <w:bCs/>
          <w:sz w:val="24"/>
          <w:szCs w:val="24"/>
        </w:rPr>
        <w:t>k podj</w:t>
      </w:r>
      <w:r>
        <w:rPr>
          <w:bCs/>
          <w:sz w:val="24"/>
          <w:szCs w:val="24"/>
        </w:rPr>
        <w:t>ęcia</w:t>
      </w:r>
      <w:r w:rsidRPr="00746D46">
        <w:rPr>
          <w:bCs/>
          <w:sz w:val="24"/>
          <w:szCs w:val="24"/>
        </w:rPr>
        <w:t xml:space="preserve"> decyzj</w:t>
      </w:r>
      <w:r>
        <w:rPr>
          <w:bCs/>
          <w:sz w:val="24"/>
          <w:szCs w:val="24"/>
        </w:rPr>
        <w:t>i</w:t>
      </w:r>
      <w:r w:rsidRPr="00746D46">
        <w:rPr>
          <w:bCs/>
          <w:sz w:val="24"/>
          <w:szCs w:val="24"/>
        </w:rPr>
        <w:t xml:space="preserve"> co do </w:t>
      </w:r>
      <w:r>
        <w:rPr>
          <w:bCs/>
          <w:sz w:val="24"/>
          <w:szCs w:val="24"/>
        </w:rPr>
        <w:t>faktu naruszenia</w:t>
      </w:r>
      <w:r w:rsidRPr="00746D46">
        <w:rPr>
          <w:bCs/>
          <w:sz w:val="24"/>
          <w:szCs w:val="24"/>
        </w:rPr>
        <w:t xml:space="preserve"> Wytyczn</w:t>
      </w:r>
      <w:r>
        <w:rPr>
          <w:bCs/>
          <w:sz w:val="24"/>
          <w:szCs w:val="24"/>
        </w:rPr>
        <w:t>ych</w:t>
      </w:r>
      <w:r w:rsidRPr="00746D46">
        <w:rPr>
          <w:bCs/>
          <w:sz w:val="24"/>
          <w:szCs w:val="24"/>
        </w:rPr>
        <w:t>. Na zakończenie procedury i po konsultacji z zainteresowanymi stronami KPK upubliczniają wyniki postępowania, biorąc pod uwagę potrzebę ochrony poufnych informacji dotyczących przedsiębiorstwa i innych interesariuszy. Sprawozdanie roczne przygotowywane przez rządy państw, które przystąpiły do Wytycznych OECD</w:t>
      </w:r>
      <w:r>
        <w:rPr>
          <w:bCs/>
          <w:sz w:val="24"/>
          <w:szCs w:val="24"/>
        </w:rPr>
        <w:t>,</w:t>
      </w:r>
      <w:r w:rsidRPr="00746D46">
        <w:rPr>
          <w:bCs/>
          <w:sz w:val="24"/>
          <w:szCs w:val="24"/>
        </w:rPr>
        <w:t xml:space="preserve"> zawiera podsumowanie działań podjętych w wyniku mediacji KPK.</w:t>
      </w:r>
    </w:p>
    <w:p w:rsidR="00591EC1" w:rsidRPr="00746D46" w:rsidRDefault="00591EC1" w:rsidP="00E7396B">
      <w:pPr>
        <w:pStyle w:val="Akapitzlist"/>
        <w:numPr>
          <w:ilvl w:val="0"/>
          <w:numId w:val="19"/>
        </w:numPr>
        <w:spacing w:before="120" w:after="120" w:line="240" w:lineRule="auto"/>
        <w:ind w:left="567"/>
        <w:contextualSpacing w:val="0"/>
        <w:jc w:val="both"/>
        <w:rPr>
          <w:bCs/>
          <w:sz w:val="24"/>
          <w:szCs w:val="24"/>
        </w:rPr>
      </w:pPr>
      <w:r w:rsidRPr="00746D46">
        <w:rPr>
          <w:bCs/>
          <w:sz w:val="24"/>
          <w:szCs w:val="24"/>
          <w:u w:val="single"/>
        </w:rPr>
        <w:t>Paragraf 53 Rekomendacji</w:t>
      </w:r>
      <w:r w:rsidRPr="00746D46">
        <w:rPr>
          <w:bCs/>
          <w:sz w:val="24"/>
          <w:szCs w:val="24"/>
        </w:rPr>
        <w:t xml:space="preserve"> przedstawia szereg sposobów na poprawę skuteczności KPK, w szczególności w odniesieniu do środków finansowych i personelu, widoczności i transparentności oraz publikacji ich dokumentów końcowych. Ponadto zaleca się uwzględnienie ustaleń KPK przez instytucje rządowe. W tym względzie należy zauważyć, że „wspólne podejście</w:t>
      </w:r>
      <w:r>
        <w:rPr>
          <w:bCs/>
          <w:sz w:val="24"/>
          <w:szCs w:val="24"/>
        </w:rPr>
        <w:t>”</w:t>
      </w:r>
      <w:r w:rsidRPr="00746D46">
        <w:rPr>
          <w:bCs/>
          <w:sz w:val="24"/>
          <w:szCs w:val="24"/>
        </w:rPr>
        <w:t xml:space="preserve"> OECD</w:t>
      </w:r>
      <w:r>
        <w:rPr>
          <w:bCs/>
          <w:sz w:val="24"/>
          <w:szCs w:val="24"/>
        </w:rPr>
        <w:t xml:space="preserve"> z</w:t>
      </w:r>
      <w:r w:rsidRPr="00746D46">
        <w:rPr>
          <w:bCs/>
          <w:sz w:val="24"/>
          <w:szCs w:val="24"/>
        </w:rPr>
        <w:t xml:space="preserve"> 2012</w:t>
      </w:r>
      <w:r>
        <w:rPr>
          <w:bCs/>
          <w:sz w:val="24"/>
          <w:szCs w:val="24"/>
        </w:rPr>
        <w:t xml:space="preserve"> r. </w:t>
      </w:r>
      <w:r w:rsidRPr="00746D46">
        <w:rPr>
          <w:bCs/>
          <w:sz w:val="24"/>
          <w:szCs w:val="24"/>
        </w:rPr>
        <w:t>obejmuje wymóg</w:t>
      </w:r>
      <w:r>
        <w:rPr>
          <w:bCs/>
          <w:sz w:val="24"/>
          <w:szCs w:val="24"/>
        </w:rPr>
        <w:t>,</w:t>
      </w:r>
      <w:r w:rsidRPr="00746D46">
        <w:rPr>
          <w:bCs/>
          <w:sz w:val="24"/>
          <w:szCs w:val="24"/>
        </w:rPr>
        <w:t xml:space="preserve"> </w:t>
      </w:r>
      <w:r>
        <w:rPr>
          <w:bCs/>
          <w:sz w:val="24"/>
          <w:szCs w:val="24"/>
        </w:rPr>
        <w:t>aby</w:t>
      </w:r>
      <w:r w:rsidRPr="00746D46">
        <w:rPr>
          <w:bCs/>
          <w:sz w:val="24"/>
          <w:szCs w:val="24"/>
        </w:rPr>
        <w:t xml:space="preserve"> agencj</w:t>
      </w:r>
      <w:r>
        <w:rPr>
          <w:bCs/>
          <w:sz w:val="24"/>
          <w:szCs w:val="24"/>
        </w:rPr>
        <w:t>e</w:t>
      </w:r>
      <w:r w:rsidRPr="00746D46">
        <w:rPr>
          <w:bCs/>
          <w:sz w:val="24"/>
          <w:szCs w:val="24"/>
        </w:rPr>
        <w:t xml:space="preserve"> udzielając</w:t>
      </w:r>
      <w:r>
        <w:rPr>
          <w:bCs/>
          <w:sz w:val="24"/>
          <w:szCs w:val="24"/>
        </w:rPr>
        <w:t>e</w:t>
      </w:r>
      <w:r w:rsidRPr="00746D46">
        <w:rPr>
          <w:bCs/>
          <w:sz w:val="24"/>
          <w:szCs w:val="24"/>
        </w:rPr>
        <w:t xml:space="preserve"> kredytów eksportowych uwzględni</w:t>
      </w:r>
      <w:r>
        <w:rPr>
          <w:bCs/>
          <w:sz w:val="24"/>
          <w:szCs w:val="24"/>
        </w:rPr>
        <w:t>a</w:t>
      </w:r>
      <w:r w:rsidRPr="00746D46">
        <w:rPr>
          <w:bCs/>
          <w:sz w:val="24"/>
          <w:szCs w:val="24"/>
        </w:rPr>
        <w:t xml:space="preserve">ły odpowiednie negatywne skutki w zakresie praw człowieka związane z projektem i „rozważyły wszelkie oświadczenia lub raporty </w:t>
      </w:r>
      <w:r>
        <w:rPr>
          <w:bCs/>
          <w:sz w:val="24"/>
          <w:szCs w:val="24"/>
        </w:rPr>
        <w:t>upublicznione</w:t>
      </w:r>
      <w:r w:rsidRPr="00746D46">
        <w:rPr>
          <w:bCs/>
          <w:sz w:val="24"/>
          <w:szCs w:val="24"/>
        </w:rPr>
        <w:t xml:space="preserve"> przez ich krajowe punkty kontaktowe (KPK) po zakończeniu procedury określonej instancji na mocy Wytycznych OECD dla </w:t>
      </w:r>
      <w:r>
        <w:rPr>
          <w:bCs/>
          <w:sz w:val="24"/>
          <w:szCs w:val="24"/>
        </w:rPr>
        <w:t>przedsiębiorstw wielonarodowych”</w:t>
      </w:r>
      <w:r w:rsidRPr="00746D46">
        <w:rPr>
          <w:bCs/>
          <w:sz w:val="24"/>
          <w:szCs w:val="24"/>
        </w:rPr>
        <w:t>. Niektóre</w:t>
      </w:r>
      <w:r w:rsidRPr="00746D46">
        <w:rPr>
          <w:sz w:val="24"/>
          <w:szCs w:val="24"/>
        </w:rPr>
        <w:t xml:space="preserve"> </w:t>
      </w:r>
      <w:r w:rsidRPr="00746D46">
        <w:rPr>
          <w:bCs/>
          <w:sz w:val="24"/>
          <w:szCs w:val="24"/>
        </w:rPr>
        <w:t>państwa członkowskie Rady Europy zawarły w swoich Krajowych Planach Działania wymóg, aby ich agencje udzielające kredytów eksportowych</w:t>
      </w:r>
      <w:r w:rsidRPr="00746D46">
        <w:t xml:space="preserve"> </w:t>
      </w:r>
      <w:r w:rsidRPr="00746D46">
        <w:rPr>
          <w:bCs/>
          <w:sz w:val="24"/>
          <w:szCs w:val="24"/>
        </w:rPr>
        <w:t>przy rozpatrywaniu projektu</w:t>
      </w:r>
      <w:r>
        <w:rPr>
          <w:bCs/>
          <w:sz w:val="24"/>
          <w:szCs w:val="24"/>
        </w:rPr>
        <w:t xml:space="preserve"> ubiegającego się o</w:t>
      </w:r>
      <w:r w:rsidRPr="00746D46">
        <w:rPr>
          <w:bCs/>
          <w:sz w:val="24"/>
          <w:szCs w:val="24"/>
        </w:rPr>
        <w:t xml:space="preserve"> </w:t>
      </w:r>
      <w:r>
        <w:rPr>
          <w:bCs/>
          <w:sz w:val="24"/>
          <w:szCs w:val="24"/>
        </w:rPr>
        <w:t xml:space="preserve">taki </w:t>
      </w:r>
      <w:r w:rsidRPr="00746D46">
        <w:rPr>
          <w:bCs/>
          <w:sz w:val="24"/>
          <w:szCs w:val="24"/>
        </w:rPr>
        <w:t xml:space="preserve">kredyt </w:t>
      </w:r>
      <w:r>
        <w:rPr>
          <w:bCs/>
          <w:sz w:val="24"/>
          <w:szCs w:val="24"/>
        </w:rPr>
        <w:t>wzięły pod uwagę</w:t>
      </w:r>
      <w:r w:rsidRPr="00746D46">
        <w:rPr>
          <w:bCs/>
          <w:sz w:val="24"/>
          <w:szCs w:val="24"/>
        </w:rPr>
        <w:t xml:space="preserve"> każde negatywne sprawozdanie końcowe</w:t>
      </w:r>
      <w:r>
        <w:rPr>
          <w:bCs/>
          <w:sz w:val="24"/>
          <w:szCs w:val="24"/>
        </w:rPr>
        <w:t>, jakie</w:t>
      </w:r>
      <w:r w:rsidRPr="00746D46">
        <w:rPr>
          <w:bCs/>
          <w:sz w:val="24"/>
          <w:szCs w:val="24"/>
        </w:rPr>
        <w:t xml:space="preserve"> KPK </w:t>
      </w:r>
      <w:r>
        <w:rPr>
          <w:bCs/>
          <w:sz w:val="24"/>
          <w:szCs w:val="24"/>
        </w:rPr>
        <w:t>wystawiły</w:t>
      </w:r>
      <w:r w:rsidRPr="00746D46">
        <w:rPr>
          <w:bCs/>
          <w:sz w:val="24"/>
          <w:szCs w:val="24"/>
        </w:rPr>
        <w:t xml:space="preserve"> przedsiębiorstw</w:t>
      </w:r>
      <w:r>
        <w:rPr>
          <w:bCs/>
          <w:sz w:val="24"/>
          <w:szCs w:val="24"/>
        </w:rPr>
        <w:t>u</w:t>
      </w:r>
      <w:r w:rsidRPr="00746D46">
        <w:rPr>
          <w:bCs/>
          <w:sz w:val="24"/>
          <w:szCs w:val="24"/>
        </w:rPr>
        <w:t xml:space="preserve"> w związku z jego wynikami w dziedzinie praw człowieka.</w:t>
      </w:r>
    </w:p>
    <w:p w:rsidR="00591EC1" w:rsidRDefault="00591EC1" w:rsidP="00E7396B">
      <w:pPr>
        <w:spacing w:before="120" w:after="120" w:line="240" w:lineRule="auto"/>
        <w:ind w:left="709"/>
        <w:jc w:val="both"/>
        <w:rPr>
          <w:bCs/>
          <w:sz w:val="24"/>
          <w:szCs w:val="24"/>
        </w:rPr>
      </w:pPr>
    </w:p>
    <w:p w:rsidR="00A52948" w:rsidRDefault="00A52948" w:rsidP="00E7396B">
      <w:pPr>
        <w:spacing w:before="120" w:after="120" w:line="240" w:lineRule="auto"/>
        <w:ind w:left="709"/>
        <w:jc w:val="both"/>
        <w:rPr>
          <w:bCs/>
          <w:sz w:val="24"/>
          <w:szCs w:val="24"/>
        </w:rPr>
      </w:pPr>
    </w:p>
    <w:p w:rsidR="00591EC1" w:rsidRPr="00746D46" w:rsidRDefault="00591EC1" w:rsidP="00E7396B">
      <w:pPr>
        <w:pStyle w:val="Akapitzlist"/>
        <w:numPr>
          <w:ilvl w:val="0"/>
          <w:numId w:val="30"/>
        </w:numPr>
        <w:spacing w:before="120" w:after="120" w:line="240" w:lineRule="auto"/>
        <w:ind w:hanging="11"/>
        <w:jc w:val="both"/>
        <w:rPr>
          <w:b/>
          <w:bCs/>
          <w:sz w:val="24"/>
          <w:szCs w:val="24"/>
        </w:rPr>
      </w:pPr>
      <w:r w:rsidRPr="00746D46">
        <w:rPr>
          <w:b/>
          <w:bCs/>
          <w:sz w:val="24"/>
          <w:szCs w:val="24"/>
        </w:rPr>
        <w:lastRenderedPageBreak/>
        <w:t>Środki o charakterze ogólnym</w:t>
      </w:r>
    </w:p>
    <w:p w:rsidR="00591EC1" w:rsidRPr="00746D46" w:rsidRDefault="00591EC1" w:rsidP="00E7396B">
      <w:pPr>
        <w:spacing w:before="120" w:after="120" w:line="240" w:lineRule="auto"/>
        <w:ind w:left="567"/>
        <w:jc w:val="both"/>
        <w:rPr>
          <w:bCs/>
          <w:i/>
          <w:sz w:val="24"/>
          <w:szCs w:val="24"/>
        </w:rPr>
      </w:pPr>
      <w:r w:rsidRPr="00746D46">
        <w:rPr>
          <w:bCs/>
          <w:i/>
          <w:sz w:val="24"/>
          <w:szCs w:val="24"/>
        </w:rPr>
        <w:t>Współpraca sądowa</w:t>
      </w:r>
    </w:p>
    <w:p w:rsidR="00591EC1" w:rsidRDefault="00591EC1" w:rsidP="00E7396B">
      <w:pPr>
        <w:pStyle w:val="Akapitzlist"/>
        <w:numPr>
          <w:ilvl w:val="0"/>
          <w:numId w:val="19"/>
        </w:numPr>
        <w:spacing w:before="120" w:after="120" w:line="240" w:lineRule="auto"/>
        <w:ind w:left="567"/>
        <w:contextualSpacing w:val="0"/>
        <w:jc w:val="both"/>
        <w:rPr>
          <w:bCs/>
          <w:sz w:val="24"/>
          <w:szCs w:val="24"/>
        </w:rPr>
      </w:pPr>
      <w:r w:rsidRPr="00746D46">
        <w:rPr>
          <w:bCs/>
          <w:sz w:val="24"/>
          <w:szCs w:val="24"/>
          <w:u w:val="single"/>
        </w:rPr>
        <w:t>Paragraf 55 Rekomendacji</w:t>
      </w:r>
      <w:r w:rsidRPr="00746D46">
        <w:rPr>
          <w:bCs/>
          <w:sz w:val="24"/>
          <w:szCs w:val="24"/>
        </w:rPr>
        <w:t xml:space="preserve"> przewiduje, że w celu wzmocnienia środków dla ofiar naruszeń praw człowieka z udziałem przedsiębiorstw państwa członkowskie powinny wypełniać swoje zobowiązania współpracy sądowej i zintensyfikować taką współpracę poza </w:t>
      </w:r>
      <w:r>
        <w:rPr>
          <w:bCs/>
          <w:sz w:val="24"/>
          <w:szCs w:val="24"/>
        </w:rPr>
        <w:t>swoimi</w:t>
      </w:r>
      <w:r w:rsidRPr="00746D46">
        <w:rPr>
          <w:bCs/>
          <w:sz w:val="24"/>
          <w:szCs w:val="24"/>
        </w:rPr>
        <w:t xml:space="preserve"> istniejącymi zobowiązaniami. Należy zauważyć, że zobowiązania dotyczące współpracy sądowej mogą wynikać z poszczególnych traktatów (takich jak Europejska Konwencja o ekstradycji lub Europejska Konwencja o pomocy prawnej), ale także z ich zobowiązań w zakresie praw człowieka. Europejski Trybunał Praw Człowieka w swoim orzecznictwie w oparciu o art. 4 Konwencji (zakaz niewolnictwa i pracy przymusowej) stwierdził na przykład, że oprócz </w:t>
      </w:r>
      <w:r>
        <w:rPr>
          <w:bCs/>
          <w:sz w:val="24"/>
          <w:szCs w:val="24"/>
        </w:rPr>
        <w:t>obowiązku</w:t>
      </w:r>
      <w:r w:rsidRPr="00746D46">
        <w:rPr>
          <w:bCs/>
          <w:sz w:val="24"/>
          <w:szCs w:val="24"/>
        </w:rPr>
        <w:t xml:space="preserve"> przeprowadzenia krajowego </w:t>
      </w:r>
      <w:r>
        <w:rPr>
          <w:bCs/>
          <w:sz w:val="24"/>
          <w:szCs w:val="24"/>
        </w:rPr>
        <w:t xml:space="preserve">postępowania przygotowawczego </w:t>
      </w:r>
      <w:r w:rsidRPr="00746D46">
        <w:rPr>
          <w:bCs/>
          <w:sz w:val="24"/>
          <w:szCs w:val="24"/>
        </w:rPr>
        <w:t>w sprawie transgranicznego handlu ludźmi</w:t>
      </w:r>
      <w:r>
        <w:rPr>
          <w:bCs/>
          <w:sz w:val="24"/>
          <w:szCs w:val="24"/>
        </w:rPr>
        <w:t xml:space="preserve"> na państwach spoczywa</w:t>
      </w:r>
      <w:r w:rsidRPr="00746D46">
        <w:rPr>
          <w:bCs/>
          <w:sz w:val="24"/>
          <w:szCs w:val="24"/>
        </w:rPr>
        <w:t xml:space="preserve"> </w:t>
      </w:r>
      <w:r>
        <w:rPr>
          <w:bCs/>
          <w:sz w:val="24"/>
          <w:szCs w:val="24"/>
        </w:rPr>
        <w:t>także zobowiązanie</w:t>
      </w:r>
      <w:r w:rsidRPr="00746D46">
        <w:rPr>
          <w:bCs/>
          <w:sz w:val="24"/>
          <w:szCs w:val="24"/>
        </w:rPr>
        <w:t xml:space="preserve"> </w:t>
      </w:r>
      <w:r>
        <w:rPr>
          <w:bCs/>
          <w:sz w:val="24"/>
          <w:szCs w:val="24"/>
        </w:rPr>
        <w:t>do</w:t>
      </w:r>
      <w:r w:rsidRPr="00746D46">
        <w:rPr>
          <w:bCs/>
          <w:sz w:val="24"/>
          <w:szCs w:val="24"/>
        </w:rPr>
        <w:t xml:space="preserve"> skuteczne</w:t>
      </w:r>
      <w:r>
        <w:rPr>
          <w:bCs/>
          <w:sz w:val="24"/>
          <w:szCs w:val="24"/>
        </w:rPr>
        <w:t>j</w:t>
      </w:r>
      <w:r w:rsidRPr="00746D46">
        <w:rPr>
          <w:bCs/>
          <w:sz w:val="24"/>
          <w:szCs w:val="24"/>
        </w:rPr>
        <w:t xml:space="preserve"> współprac</w:t>
      </w:r>
      <w:r>
        <w:rPr>
          <w:bCs/>
          <w:sz w:val="24"/>
          <w:szCs w:val="24"/>
        </w:rPr>
        <w:t>y</w:t>
      </w:r>
      <w:r w:rsidRPr="00746D46">
        <w:rPr>
          <w:bCs/>
          <w:sz w:val="24"/>
          <w:szCs w:val="24"/>
        </w:rPr>
        <w:t xml:space="preserve"> z odpowiednimi organami innych</w:t>
      </w:r>
      <w:r>
        <w:rPr>
          <w:bCs/>
          <w:sz w:val="24"/>
          <w:szCs w:val="24"/>
        </w:rPr>
        <w:t xml:space="preserve"> zainteresowanych</w:t>
      </w:r>
      <w:r w:rsidRPr="00746D46">
        <w:rPr>
          <w:bCs/>
          <w:sz w:val="24"/>
          <w:szCs w:val="24"/>
        </w:rPr>
        <w:t xml:space="preserve"> państw </w:t>
      </w:r>
      <w:r>
        <w:rPr>
          <w:bCs/>
          <w:sz w:val="24"/>
          <w:szCs w:val="24"/>
        </w:rPr>
        <w:t>w zakresie prowadzonego</w:t>
      </w:r>
      <w:r w:rsidRPr="00746D46">
        <w:rPr>
          <w:bCs/>
          <w:sz w:val="24"/>
          <w:szCs w:val="24"/>
        </w:rPr>
        <w:t xml:space="preserve"> </w:t>
      </w:r>
      <w:r>
        <w:rPr>
          <w:bCs/>
          <w:sz w:val="24"/>
          <w:szCs w:val="24"/>
        </w:rPr>
        <w:t xml:space="preserve">postępowania przygotowawczego </w:t>
      </w:r>
      <w:r w:rsidRPr="00746D46">
        <w:rPr>
          <w:bCs/>
          <w:sz w:val="24"/>
          <w:szCs w:val="24"/>
        </w:rPr>
        <w:t>w sprawie wydarzeń, które miały miejsce poza ich terytorium.</w:t>
      </w:r>
      <w:r w:rsidRPr="00746D46">
        <w:rPr>
          <w:rStyle w:val="Odwoanieprzypisukocowego"/>
          <w:bCs/>
          <w:sz w:val="24"/>
          <w:szCs w:val="24"/>
        </w:rPr>
        <w:endnoteReference w:id="42"/>
      </w:r>
      <w:r w:rsidRPr="00746D46">
        <w:rPr>
          <w:bCs/>
          <w:sz w:val="24"/>
          <w:szCs w:val="24"/>
          <w:u w:val="single"/>
        </w:rPr>
        <w:t xml:space="preserve"> Paragraf 56 Rekomendacji</w:t>
      </w:r>
      <w:r w:rsidRPr="00746D46">
        <w:rPr>
          <w:bCs/>
          <w:sz w:val="24"/>
          <w:szCs w:val="24"/>
        </w:rPr>
        <w:t xml:space="preserve"> dotyczy również współpracy z pozasądowy</w:t>
      </w:r>
      <w:r>
        <w:rPr>
          <w:bCs/>
          <w:sz w:val="24"/>
          <w:szCs w:val="24"/>
        </w:rPr>
        <w:t>mi</w:t>
      </w:r>
      <w:r w:rsidRPr="00746D46">
        <w:rPr>
          <w:bCs/>
          <w:sz w:val="24"/>
          <w:szCs w:val="24"/>
        </w:rPr>
        <w:t xml:space="preserve"> mechanizm</w:t>
      </w:r>
      <w:r>
        <w:rPr>
          <w:bCs/>
          <w:sz w:val="24"/>
          <w:szCs w:val="24"/>
        </w:rPr>
        <w:t>ami</w:t>
      </w:r>
      <w:r w:rsidRPr="00746D46">
        <w:rPr>
          <w:bCs/>
          <w:sz w:val="24"/>
          <w:szCs w:val="24"/>
        </w:rPr>
        <w:t xml:space="preserve"> rozpatrywania skarg. </w:t>
      </w:r>
      <w:r>
        <w:rPr>
          <w:bCs/>
          <w:sz w:val="24"/>
          <w:szCs w:val="24"/>
        </w:rPr>
        <w:t>N</w:t>
      </w:r>
      <w:r w:rsidRPr="00746D46">
        <w:rPr>
          <w:bCs/>
          <w:sz w:val="24"/>
          <w:szCs w:val="24"/>
        </w:rPr>
        <w:t>ależy podkreślić, że szybkość ma duże znaczenie</w:t>
      </w:r>
      <w:r w:rsidRPr="008F3FC6">
        <w:rPr>
          <w:bCs/>
          <w:sz w:val="24"/>
          <w:szCs w:val="24"/>
        </w:rPr>
        <w:t xml:space="preserve"> </w:t>
      </w:r>
      <w:r>
        <w:rPr>
          <w:bCs/>
          <w:sz w:val="24"/>
          <w:szCs w:val="24"/>
        </w:rPr>
        <w:t>d</w:t>
      </w:r>
      <w:r w:rsidRPr="00746D46">
        <w:rPr>
          <w:bCs/>
          <w:sz w:val="24"/>
          <w:szCs w:val="24"/>
        </w:rPr>
        <w:t>la obu rodzajów współpracy.</w:t>
      </w:r>
    </w:p>
    <w:p w:rsidR="00A52948" w:rsidRPr="00746D46" w:rsidRDefault="00A52948" w:rsidP="00A52948">
      <w:pPr>
        <w:pStyle w:val="Akapitzlist"/>
        <w:spacing w:before="120" w:after="120" w:line="240" w:lineRule="auto"/>
        <w:ind w:left="567"/>
        <w:contextualSpacing w:val="0"/>
        <w:jc w:val="both"/>
        <w:rPr>
          <w:bCs/>
          <w:sz w:val="24"/>
          <w:szCs w:val="24"/>
        </w:rPr>
      </w:pPr>
    </w:p>
    <w:p w:rsidR="00591EC1" w:rsidRPr="00A01502" w:rsidRDefault="00591EC1" w:rsidP="00E7396B">
      <w:pPr>
        <w:spacing w:before="120" w:after="120" w:line="240" w:lineRule="auto"/>
        <w:ind w:left="567"/>
        <w:jc w:val="both"/>
        <w:rPr>
          <w:bCs/>
          <w:i/>
          <w:sz w:val="24"/>
          <w:szCs w:val="24"/>
        </w:rPr>
      </w:pPr>
      <w:r w:rsidRPr="00A01502">
        <w:rPr>
          <w:bCs/>
          <w:i/>
          <w:sz w:val="24"/>
          <w:szCs w:val="24"/>
        </w:rPr>
        <w:t>Szkolenia dla profesjonalistów</w:t>
      </w:r>
    </w:p>
    <w:p w:rsidR="00591EC1" w:rsidRPr="00746D46" w:rsidRDefault="00591EC1" w:rsidP="00E7396B">
      <w:pPr>
        <w:pStyle w:val="Akapitzlist"/>
        <w:numPr>
          <w:ilvl w:val="0"/>
          <w:numId w:val="19"/>
        </w:numPr>
        <w:spacing w:before="120" w:after="120" w:line="240" w:lineRule="auto"/>
        <w:ind w:left="567"/>
        <w:contextualSpacing w:val="0"/>
        <w:jc w:val="both"/>
        <w:rPr>
          <w:bCs/>
          <w:sz w:val="24"/>
          <w:szCs w:val="24"/>
        </w:rPr>
      </w:pPr>
      <w:r w:rsidRPr="00746D46">
        <w:rPr>
          <w:bCs/>
          <w:sz w:val="24"/>
          <w:szCs w:val="24"/>
          <w:u w:val="single"/>
        </w:rPr>
        <w:t>Paragraf 56 Rekomendacji</w:t>
      </w:r>
      <w:r w:rsidRPr="00746D46">
        <w:rPr>
          <w:bCs/>
          <w:sz w:val="24"/>
          <w:szCs w:val="24"/>
        </w:rPr>
        <w:t xml:space="preserve"> wzywa państwa członkowskie do zapewnienia wystarczających środków oraz do rozważenia możliwości opracowania specjalnych wytycznych i szkoleń</w:t>
      </w:r>
      <w:r>
        <w:rPr>
          <w:bCs/>
          <w:sz w:val="24"/>
          <w:szCs w:val="24"/>
        </w:rPr>
        <w:t xml:space="preserve"> adresowanych</w:t>
      </w:r>
      <w:r w:rsidRPr="00746D46">
        <w:rPr>
          <w:bCs/>
          <w:sz w:val="24"/>
          <w:szCs w:val="24"/>
        </w:rPr>
        <w:t xml:space="preserve"> d</w:t>
      </w:r>
      <w:r>
        <w:rPr>
          <w:bCs/>
          <w:sz w:val="24"/>
          <w:szCs w:val="24"/>
        </w:rPr>
        <w:t>o</w:t>
      </w:r>
      <w:r w:rsidRPr="00746D46">
        <w:rPr>
          <w:bCs/>
          <w:sz w:val="24"/>
          <w:szCs w:val="24"/>
        </w:rPr>
        <w:t xml:space="preserve"> sędziów, prokuratorów, inspektorów, arbitrów i mediatorów</w:t>
      </w:r>
      <w:r>
        <w:rPr>
          <w:bCs/>
          <w:sz w:val="24"/>
          <w:szCs w:val="24"/>
        </w:rPr>
        <w:t>, które</w:t>
      </w:r>
      <w:r w:rsidRPr="00746D46">
        <w:rPr>
          <w:bCs/>
          <w:sz w:val="24"/>
          <w:szCs w:val="24"/>
        </w:rPr>
        <w:t xml:space="preserve"> dotycz</w:t>
      </w:r>
      <w:r>
        <w:rPr>
          <w:bCs/>
          <w:sz w:val="24"/>
          <w:szCs w:val="24"/>
        </w:rPr>
        <w:t>yłyby</w:t>
      </w:r>
      <w:r w:rsidRPr="00746D46">
        <w:rPr>
          <w:bCs/>
          <w:sz w:val="24"/>
          <w:szCs w:val="24"/>
        </w:rPr>
        <w:t xml:space="preserve"> naruszeń praw człowieka związanych z biznesem. W związku z tym niektóre krajowe dobre praktyki wymienione w Krajowych Planach Działania</w:t>
      </w:r>
      <w:r w:rsidRPr="00746D46">
        <w:rPr>
          <w:sz w:val="24"/>
          <w:szCs w:val="24"/>
        </w:rPr>
        <w:t xml:space="preserve"> </w:t>
      </w:r>
      <w:r w:rsidRPr="00746D46">
        <w:rPr>
          <w:bCs/>
          <w:sz w:val="24"/>
          <w:szCs w:val="24"/>
        </w:rPr>
        <w:t>państw członkowskich Rady Europy mogłyby zainspirować inne państwa do opracowania kursów e-learningowych lub zestawów narzędzi dotyczących Wytycznych ONZ lub bardziej ogólnie biznesu i praw człowieka. Ponadto Program HELP</w:t>
      </w:r>
      <w:r w:rsidRPr="00746D46">
        <w:rPr>
          <w:sz w:val="24"/>
          <w:szCs w:val="24"/>
        </w:rPr>
        <w:t xml:space="preserve"> </w:t>
      </w:r>
      <w:r w:rsidRPr="00746D46">
        <w:rPr>
          <w:bCs/>
          <w:sz w:val="24"/>
          <w:szCs w:val="24"/>
        </w:rPr>
        <w:t>Rady Europy dotyczący biznesu i praw człowieka może zapewnić kilka przydatnych wskazówek i szkolenia w tym zakresie.</w:t>
      </w:r>
    </w:p>
    <w:p w:rsidR="00591EC1" w:rsidRPr="00746D46" w:rsidRDefault="00591EC1" w:rsidP="00E7396B">
      <w:pPr>
        <w:pStyle w:val="Akapitzlist"/>
        <w:spacing w:before="120" w:after="120" w:line="240" w:lineRule="auto"/>
        <w:ind w:left="1069"/>
        <w:jc w:val="both"/>
        <w:rPr>
          <w:bCs/>
          <w:sz w:val="24"/>
          <w:szCs w:val="24"/>
        </w:rPr>
      </w:pPr>
    </w:p>
    <w:p w:rsidR="00591EC1" w:rsidRPr="00ED1D8D" w:rsidRDefault="00591EC1" w:rsidP="00E7396B">
      <w:pPr>
        <w:spacing w:before="120" w:after="120" w:line="240" w:lineRule="auto"/>
        <w:ind w:left="567"/>
        <w:jc w:val="both"/>
        <w:rPr>
          <w:bCs/>
          <w:i/>
          <w:sz w:val="24"/>
          <w:szCs w:val="24"/>
        </w:rPr>
      </w:pPr>
      <w:r w:rsidRPr="00ED1D8D">
        <w:rPr>
          <w:bCs/>
          <w:i/>
          <w:sz w:val="24"/>
          <w:szCs w:val="24"/>
        </w:rPr>
        <w:t>Informacja dla domniemanych ofiar nt. ich praw i dostępnych środków</w:t>
      </w:r>
    </w:p>
    <w:p w:rsidR="00591EC1" w:rsidRDefault="00591EC1" w:rsidP="00E7396B">
      <w:pPr>
        <w:pStyle w:val="Akapitzlist"/>
        <w:numPr>
          <w:ilvl w:val="0"/>
          <w:numId w:val="19"/>
        </w:numPr>
        <w:spacing w:before="120" w:after="120" w:line="240" w:lineRule="auto"/>
        <w:ind w:left="567"/>
        <w:contextualSpacing w:val="0"/>
        <w:jc w:val="both"/>
        <w:rPr>
          <w:bCs/>
          <w:sz w:val="24"/>
          <w:szCs w:val="24"/>
        </w:rPr>
      </w:pPr>
      <w:r w:rsidRPr="00746D46">
        <w:rPr>
          <w:bCs/>
          <w:sz w:val="24"/>
          <w:szCs w:val="24"/>
          <w:u w:val="single"/>
        </w:rPr>
        <w:t>Paragraf 57 Rekomendacji</w:t>
      </w:r>
      <w:r w:rsidRPr="00746D46">
        <w:rPr>
          <w:bCs/>
          <w:sz w:val="24"/>
          <w:szCs w:val="24"/>
        </w:rPr>
        <w:t xml:space="preserve"> stanowi, że domniemane ofiary naruszeń praw człowieka związanych z biznesem w obrębie jurysdykcji terytorialnej państwa członkowskiego powinny mieć powszechny dostęp do informacji na temat treści poszczególnych praw człowieka oraz istniejących środków zaradczych. Wyrażenie</w:t>
      </w:r>
      <w:r>
        <w:rPr>
          <w:bCs/>
          <w:sz w:val="24"/>
          <w:szCs w:val="24"/>
        </w:rPr>
        <w:t xml:space="preserve"> „w języku dla nich zrozumiałym „</w:t>
      </w:r>
      <w:r w:rsidRPr="00746D46">
        <w:rPr>
          <w:bCs/>
          <w:sz w:val="24"/>
          <w:szCs w:val="24"/>
        </w:rPr>
        <w:t>jest sformułowaniem powszechnie stosowanym w traktatach Rady Europy, które rozumiane jest nie</w:t>
      </w:r>
      <w:r>
        <w:rPr>
          <w:bCs/>
          <w:sz w:val="24"/>
          <w:szCs w:val="24"/>
        </w:rPr>
        <w:t xml:space="preserve"> jako</w:t>
      </w:r>
      <w:r w:rsidRPr="00746D46">
        <w:rPr>
          <w:bCs/>
          <w:sz w:val="24"/>
          <w:szCs w:val="24"/>
        </w:rPr>
        <w:t xml:space="preserve"> wym</w:t>
      </w:r>
      <w:r>
        <w:rPr>
          <w:bCs/>
          <w:sz w:val="24"/>
          <w:szCs w:val="24"/>
        </w:rPr>
        <w:t>ó</w:t>
      </w:r>
      <w:r w:rsidRPr="00746D46">
        <w:rPr>
          <w:bCs/>
          <w:sz w:val="24"/>
          <w:szCs w:val="24"/>
        </w:rPr>
        <w:t xml:space="preserve">g każdego możliwego języka, </w:t>
      </w:r>
      <w:r>
        <w:rPr>
          <w:bCs/>
          <w:sz w:val="24"/>
          <w:szCs w:val="24"/>
        </w:rPr>
        <w:t>lecz</w:t>
      </w:r>
      <w:r w:rsidRPr="00746D46">
        <w:rPr>
          <w:bCs/>
          <w:sz w:val="24"/>
          <w:szCs w:val="24"/>
        </w:rPr>
        <w:t xml:space="preserve"> raczej</w:t>
      </w:r>
      <w:r>
        <w:rPr>
          <w:bCs/>
          <w:sz w:val="24"/>
          <w:szCs w:val="24"/>
        </w:rPr>
        <w:t xml:space="preserve"> jako wymóg</w:t>
      </w:r>
      <w:r w:rsidRPr="00746D46">
        <w:rPr>
          <w:bCs/>
          <w:sz w:val="24"/>
          <w:szCs w:val="24"/>
        </w:rPr>
        <w:t xml:space="preserve"> </w:t>
      </w:r>
      <w:r>
        <w:rPr>
          <w:bCs/>
          <w:sz w:val="24"/>
          <w:szCs w:val="24"/>
        </w:rPr>
        <w:t>„</w:t>
      </w:r>
      <w:r w:rsidRPr="00746D46">
        <w:rPr>
          <w:bCs/>
          <w:sz w:val="24"/>
          <w:szCs w:val="24"/>
        </w:rPr>
        <w:t>języków najc</w:t>
      </w:r>
      <w:r>
        <w:rPr>
          <w:bCs/>
          <w:sz w:val="24"/>
          <w:szCs w:val="24"/>
        </w:rPr>
        <w:t>zęściej używanych w danym kraju”</w:t>
      </w:r>
      <w:r w:rsidRPr="00746D46">
        <w:rPr>
          <w:bCs/>
          <w:sz w:val="24"/>
          <w:szCs w:val="24"/>
        </w:rPr>
        <w:t xml:space="preserve"> (zob. na przykład paragraf 229 Sprawozdania wyjaśniającego do Konwencji Rady Europy o ochronie dzieci przed seksualnym wykorzystywaniem i niegodziwym traktowaniem w celach seksualnych).</w:t>
      </w:r>
    </w:p>
    <w:p w:rsidR="00277B72" w:rsidRDefault="00277B72" w:rsidP="00E7396B">
      <w:pPr>
        <w:pStyle w:val="Akapitzlist"/>
        <w:spacing w:before="120" w:after="120" w:line="240" w:lineRule="auto"/>
        <w:ind w:left="1069"/>
        <w:jc w:val="both"/>
        <w:rPr>
          <w:bCs/>
          <w:sz w:val="24"/>
          <w:szCs w:val="24"/>
        </w:rPr>
      </w:pPr>
    </w:p>
    <w:p w:rsidR="00277B72" w:rsidRPr="00746D46" w:rsidRDefault="00277B72" w:rsidP="00E7396B">
      <w:pPr>
        <w:pStyle w:val="Akapitzlist"/>
        <w:spacing w:before="120" w:after="120" w:line="240" w:lineRule="auto"/>
        <w:ind w:left="1069"/>
        <w:jc w:val="both"/>
        <w:rPr>
          <w:bCs/>
          <w:sz w:val="24"/>
          <w:szCs w:val="24"/>
        </w:rPr>
      </w:pPr>
    </w:p>
    <w:p w:rsidR="00591EC1" w:rsidRDefault="00591EC1" w:rsidP="00E7396B">
      <w:pPr>
        <w:pStyle w:val="Akapitzlist"/>
        <w:numPr>
          <w:ilvl w:val="0"/>
          <w:numId w:val="31"/>
        </w:numPr>
        <w:spacing w:before="120" w:after="120" w:line="240" w:lineRule="auto"/>
        <w:contextualSpacing w:val="0"/>
        <w:jc w:val="both"/>
        <w:rPr>
          <w:b/>
          <w:bCs/>
          <w:sz w:val="24"/>
          <w:szCs w:val="24"/>
        </w:rPr>
      </w:pPr>
      <w:r w:rsidRPr="00746D46">
        <w:rPr>
          <w:b/>
          <w:bCs/>
          <w:sz w:val="24"/>
          <w:szCs w:val="24"/>
        </w:rPr>
        <w:lastRenderedPageBreak/>
        <w:t>Dodatkowa ochrona pracowników</w:t>
      </w:r>
    </w:p>
    <w:p w:rsidR="00277B72" w:rsidRPr="00746D46" w:rsidRDefault="00277B72" w:rsidP="00277B72">
      <w:pPr>
        <w:pStyle w:val="Akapitzlist"/>
        <w:spacing w:before="120" w:after="120" w:line="240" w:lineRule="auto"/>
        <w:ind w:left="567"/>
        <w:contextualSpacing w:val="0"/>
        <w:jc w:val="both"/>
        <w:rPr>
          <w:b/>
          <w:bCs/>
          <w:sz w:val="24"/>
          <w:szCs w:val="24"/>
        </w:rPr>
      </w:pPr>
    </w:p>
    <w:p w:rsidR="00591EC1" w:rsidRPr="00746D46" w:rsidRDefault="00591EC1" w:rsidP="00E7396B">
      <w:pPr>
        <w:pStyle w:val="Akapitzlist"/>
        <w:numPr>
          <w:ilvl w:val="0"/>
          <w:numId w:val="19"/>
        </w:numPr>
        <w:spacing w:before="120" w:after="120" w:line="240" w:lineRule="auto"/>
        <w:ind w:left="567"/>
        <w:contextualSpacing w:val="0"/>
        <w:jc w:val="both"/>
        <w:rPr>
          <w:bCs/>
          <w:sz w:val="24"/>
          <w:szCs w:val="24"/>
        </w:rPr>
      </w:pPr>
      <w:r w:rsidRPr="00746D46">
        <w:rPr>
          <w:bCs/>
          <w:sz w:val="24"/>
          <w:szCs w:val="24"/>
        </w:rPr>
        <w:t xml:space="preserve">W istotę stosunków pracy jest wpisany znaczący wpływ działalności przedsiębiorstwa na pracowników. </w:t>
      </w:r>
      <w:r w:rsidRPr="00746D46">
        <w:rPr>
          <w:bCs/>
          <w:sz w:val="24"/>
          <w:szCs w:val="24"/>
          <w:u w:val="single"/>
        </w:rPr>
        <w:t>Paragraf 58 Rekomendacji</w:t>
      </w:r>
      <w:r w:rsidRPr="00746D46">
        <w:rPr>
          <w:bCs/>
          <w:sz w:val="24"/>
          <w:szCs w:val="24"/>
        </w:rPr>
        <w:t xml:space="preserve"> zachęca zatem państwa członkowskie, aby wymagały od przedsiębiorstw poszanowania praw pracowników w działalności</w:t>
      </w:r>
      <w:r>
        <w:rPr>
          <w:bCs/>
          <w:sz w:val="24"/>
          <w:szCs w:val="24"/>
        </w:rPr>
        <w:t xml:space="preserve"> prowadzonej</w:t>
      </w:r>
      <w:r w:rsidRPr="00746D46">
        <w:rPr>
          <w:bCs/>
          <w:sz w:val="24"/>
          <w:szCs w:val="24"/>
        </w:rPr>
        <w:t xml:space="preserve"> w obrębie ich jurysdykcji terytorialnej oraz,</w:t>
      </w:r>
      <w:r>
        <w:rPr>
          <w:bCs/>
          <w:sz w:val="24"/>
          <w:szCs w:val="24"/>
        </w:rPr>
        <w:t xml:space="preserve"> w</w:t>
      </w:r>
      <w:r w:rsidRPr="00746D46">
        <w:rPr>
          <w:bCs/>
          <w:sz w:val="24"/>
          <w:szCs w:val="24"/>
        </w:rPr>
        <w:t xml:space="preserve"> stosownych przypadkach, w całej działalności za granicą, jeśli mają siedzibę w obrębie ich jurysdykcji. </w:t>
      </w:r>
      <w:r w:rsidRPr="00746D46">
        <w:rPr>
          <w:bCs/>
          <w:sz w:val="24"/>
          <w:szCs w:val="24"/>
          <w:u w:val="single"/>
        </w:rPr>
        <w:t>Paragraf 59 Rekomendacji</w:t>
      </w:r>
      <w:r w:rsidRPr="00746D46">
        <w:rPr>
          <w:bCs/>
          <w:sz w:val="24"/>
          <w:szCs w:val="24"/>
        </w:rPr>
        <w:t xml:space="preserve"> odwołuje się do odpowiednich standardów europejskich i międzynarodowych w tej dziedzinie. Określenie „inne odpowiednie</w:t>
      </w:r>
      <w:r w:rsidRPr="00746D46">
        <w:rPr>
          <w:sz w:val="24"/>
          <w:szCs w:val="24"/>
        </w:rPr>
        <w:t xml:space="preserve"> </w:t>
      </w:r>
      <w:r w:rsidRPr="00746D46">
        <w:rPr>
          <w:bCs/>
          <w:sz w:val="24"/>
          <w:szCs w:val="24"/>
        </w:rPr>
        <w:t xml:space="preserve">międzynarodowe instrumenty" obejmuje również konwencje Międzynarodowej Organizacji Pracy, które nie są klasyfikowane jako </w:t>
      </w:r>
      <w:r>
        <w:rPr>
          <w:bCs/>
          <w:sz w:val="24"/>
          <w:szCs w:val="24"/>
        </w:rPr>
        <w:t>„</w:t>
      </w:r>
      <w:r w:rsidRPr="00746D46">
        <w:rPr>
          <w:bCs/>
          <w:sz w:val="24"/>
          <w:szCs w:val="24"/>
        </w:rPr>
        <w:t>fundamentalne". Art. 6</w:t>
      </w:r>
      <w:r>
        <w:rPr>
          <w:bCs/>
          <w:sz w:val="24"/>
          <w:szCs w:val="24"/>
        </w:rPr>
        <w:t xml:space="preserve"> - </w:t>
      </w:r>
      <w:r w:rsidRPr="00746D46">
        <w:rPr>
          <w:bCs/>
          <w:sz w:val="24"/>
          <w:szCs w:val="24"/>
        </w:rPr>
        <w:t>art. 8 Międzynarodowego Paktu Praw Gospodarczych, Społecznych i Kulturalnych oferuje różne zabezpieczenia dla pracowników, taki</w:t>
      </w:r>
      <w:r>
        <w:rPr>
          <w:bCs/>
          <w:sz w:val="24"/>
          <w:szCs w:val="24"/>
        </w:rPr>
        <w:t>e</w:t>
      </w:r>
      <w:r w:rsidRPr="00746D46">
        <w:rPr>
          <w:bCs/>
          <w:sz w:val="24"/>
          <w:szCs w:val="24"/>
        </w:rPr>
        <w:t xml:space="preserve"> jak prawo do korzystnych i sprawiedliwych warunków pracy (art. 7) oraz prawo do tworzenia i przystępowania do związków zawodowych (art. 8 (1) (a)). </w:t>
      </w:r>
      <w:r>
        <w:rPr>
          <w:bCs/>
          <w:sz w:val="24"/>
          <w:szCs w:val="24"/>
        </w:rPr>
        <w:t>P</w:t>
      </w:r>
      <w:r w:rsidRPr="00746D46">
        <w:rPr>
          <w:bCs/>
          <w:sz w:val="24"/>
          <w:szCs w:val="24"/>
        </w:rPr>
        <w:t>odobnie Konwencja o ochronie praw człowieka i podstawowych wolności obejmuje „prawo tworzenia związków zawodowych</w:t>
      </w:r>
      <w:r>
        <w:rPr>
          <w:bCs/>
          <w:sz w:val="24"/>
          <w:szCs w:val="24"/>
        </w:rPr>
        <w:t xml:space="preserve"> i przystępowania do nich”</w:t>
      </w:r>
      <w:r w:rsidRPr="00746D46">
        <w:rPr>
          <w:bCs/>
          <w:sz w:val="24"/>
          <w:szCs w:val="24"/>
        </w:rPr>
        <w:t xml:space="preserve"> na podstawie art. 11 Konwencji. W swoim orzecznictwie Europejski Trybunał Praw Człowieka również opracował zestaw praw związanych z pracą na podstawie różnych artykułów Konwencji, najczęściej </w:t>
      </w:r>
      <w:r>
        <w:rPr>
          <w:bCs/>
          <w:sz w:val="24"/>
          <w:szCs w:val="24"/>
        </w:rPr>
        <w:t>–</w:t>
      </w:r>
      <w:r w:rsidRPr="00746D46">
        <w:rPr>
          <w:bCs/>
          <w:sz w:val="24"/>
          <w:szCs w:val="24"/>
        </w:rPr>
        <w:t xml:space="preserve"> ale nie tylko </w:t>
      </w:r>
      <w:r>
        <w:rPr>
          <w:bCs/>
          <w:sz w:val="24"/>
          <w:szCs w:val="24"/>
        </w:rPr>
        <w:t>–</w:t>
      </w:r>
      <w:r w:rsidRPr="00746D46">
        <w:rPr>
          <w:bCs/>
          <w:sz w:val="24"/>
          <w:szCs w:val="24"/>
        </w:rPr>
        <w:t xml:space="preserve"> w odniesieniu do sytuacji, gdy państwo działa jako pracodawca. </w:t>
      </w:r>
      <w:r>
        <w:rPr>
          <w:bCs/>
          <w:sz w:val="24"/>
          <w:szCs w:val="24"/>
        </w:rPr>
        <w:t>U</w:t>
      </w:r>
      <w:r w:rsidRPr="00746D46">
        <w:rPr>
          <w:bCs/>
          <w:sz w:val="24"/>
          <w:szCs w:val="24"/>
        </w:rPr>
        <w:t>gruntowane orzecznictw</w:t>
      </w:r>
      <w:r>
        <w:rPr>
          <w:bCs/>
          <w:sz w:val="24"/>
          <w:szCs w:val="24"/>
        </w:rPr>
        <w:t>o</w:t>
      </w:r>
      <w:r w:rsidRPr="00746D46">
        <w:rPr>
          <w:bCs/>
          <w:sz w:val="24"/>
          <w:szCs w:val="24"/>
        </w:rPr>
        <w:t xml:space="preserve"> </w:t>
      </w:r>
      <w:r>
        <w:rPr>
          <w:bCs/>
          <w:sz w:val="24"/>
          <w:szCs w:val="24"/>
        </w:rPr>
        <w:t>obejmuje</w:t>
      </w:r>
      <w:r w:rsidRPr="00746D46">
        <w:rPr>
          <w:bCs/>
          <w:sz w:val="24"/>
          <w:szCs w:val="24"/>
        </w:rPr>
        <w:t xml:space="preserve"> przykłady naruszeni</w:t>
      </w:r>
      <w:r>
        <w:rPr>
          <w:bCs/>
          <w:sz w:val="24"/>
          <w:szCs w:val="24"/>
        </w:rPr>
        <w:t>a</w:t>
      </w:r>
      <w:r w:rsidRPr="00746D46">
        <w:rPr>
          <w:bCs/>
          <w:sz w:val="24"/>
          <w:szCs w:val="24"/>
        </w:rPr>
        <w:t xml:space="preserve"> art. 8 Konwencji (prawo do poszanowania życia prywatnego i rodzinnego) w sp</w:t>
      </w:r>
      <w:r>
        <w:rPr>
          <w:bCs/>
          <w:sz w:val="24"/>
          <w:szCs w:val="24"/>
        </w:rPr>
        <w:t>r</w:t>
      </w:r>
      <w:r w:rsidRPr="00746D46">
        <w:rPr>
          <w:bCs/>
          <w:sz w:val="24"/>
          <w:szCs w:val="24"/>
        </w:rPr>
        <w:t>awie podsłuchiwania rozmów telefonicznych</w:t>
      </w:r>
      <w:r>
        <w:rPr>
          <w:bCs/>
          <w:sz w:val="24"/>
          <w:szCs w:val="24"/>
        </w:rPr>
        <w:t xml:space="preserve"> prowadzonych</w:t>
      </w:r>
      <w:r w:rsidRPr="00746D46">
        <w:rPr>
          <w:bCs/>
          <w:sz w:val="24"/>
          <w:szCs w:val="24"/>
        </w:rPr>
        <w:t xml:space="preserve"> ze służbowego telefonu skarżącej</w:t>
      </w:r>
      <w:r w:rsidRPr="00746D46">
        <w:rPr>
          <w:rStyle w:val="Odwoanieprzypisukocowego"/>
          <w:bCs/>
          <w:sz w:val="24"/>
          <w:szCs w:val="24"/>
        </w:rPr>
        <w:endnoteReference w:id="43"/>
      </w:r>
      <w:r w:rsidRPr="00746D46">
        <w:rPr>
          <w:bCs/>
          <w:sz w:val="24"/>
          <w:szCs w:val="24"/>
        </w:rPr>
        <w:t xml:space="preserve"> lub naruszeni</w:t>
      </w:r>
      <w:r>
        <w:rPr>
          <w:bCs/>
          <w:sz w:val="24"/>
          <w:szCs w:val="24"/>
        </w:rPr>
        <w:t>a</w:t>
      </w:r>
      <w:r w:rsidRPr="00746D46">
        <w:rPr>
          <w:bCs/>
          <w:sz w:val="24"/>
          <w:szCs w:val="24"/>
        </w:rPr>
        <w:t xml:space="preserve"> art. 2 (prawo do życia) </w:t>
      </w:r>
      <w:r>
        <w:rPr>
          <w:bCs/>
          <w:sz w:val="24"/>
          <w:szCs w:val="24"/>
        </w:rPr>
        <w:t>poprzez</w:t>
      </w:r>
      <w:r w:rsidRPr="00746D46">
        <w:rPr>
          <w:bCs/>
          <w:sz w:val="24"/>
          <w:szCs w:val="24"/>
        </w:rPr>
        <w:t xml:space="preserve"> długotrwałe narażani</w:t>
      </w:r>
      <w:r>
        <w:rPr>
          <w:bCs/>
          <w:sz w:val="24"/>
          <w:szCs w:val="24"/>
        </w:rPr>
        <w:t>e</w:t>
      </w:r>
      <w:r w:rsidRPr="00746D46">
        <w:rPr>
          <w:bCs/>
          <w:sz w:val="24"/>
          <w:szCs w:val="24"/>
        </w:rPr>
        <w:t xml:space="preserve"> pracowników na działanie azbestu.</w:t>
      </w:r>
      <w:r w:rsidRPr="00746D46">
        <w:rPr>
          <w:rStyle w:val="Odwoanieprzypisukocowego"/>
          <w:bCs/>
          <w:sz w:val="24"/>
          <w:szCs w:val="24"/>
        </w:rPr>
        <w:endnoteReference w:id="44"/>
      </w:r>
      <w:r w:rsidRPr="00746D46">
        <w:rPr>
          <w:bCs/>
          <w:sz w:val="24"/>
          <w:szCs w:val="24"/>
        </w:rPr>
        <w:t>Europejska Karta Społeczna (zrewidowana) zawiera obszerne przepisy dotyczące ochrony pracowników, w tym w szczególności prawo do pracy (art. 1), prawo do odpowiednich warunków pracy (art. 2), prawo do bezpiecznych i higienicznych warunków pracy (art. 3), prawo do sprawiedliwego wynagrodzenia (art. 4), prawo do organizowania się (art. 5), prawo do rokowań zbiorowych (art. 6), prawo do ochrony w przypadku rozwiązania stosunku pracy (art. 24) oraz prawo do godności w miejscu pracy (art. 26), jak również inne artykuły wymienione w paragrafie 32 powyżej. Przegląd istotnego orzecznictwa dotyczącego praw pracowników można znaleźć w dokumencie „</w:t>
      </w:r>
      <w:r w:rsidRPr="00A42E41">
        <w:rPr>
          <w:sz w:val="24"/>
          <w:szCs w:val="24"/>
        </w:rPr>
        <w:t>Istniejące zobowiązania państw członkowskich wynikając</w:t>
      </w:r>
      <w:r>
        <w:rPr>
          <w:sz w:val="24"/>
          <w:szCs w:val="24"/>
        </w:rPr>
        <w:t>e</w:t>
      </w:r>
      <w:r w:rsidRPr="00A42E41">
        <w:rPr>
          <w:sz w:val="24"/>
          <w:szCs w:val="24"/>
        </w:rPr>
        <w:t xml:space="preserve"> z traktatów Rady Europy i innych instrumentów w kontekście praw człowie</w:t>
      </w:r>
      <w:r>
        <w:rPr>
          <w:sz w:val="24"/>
          <w:szCs w:val="24"/>
        </w:rPr>
        <w:t>ka i biznesu</w:t>
      </w:r>
      <w:r>
        <w:rPr>
          <w:bCs/>
          <w:sz w:val="24"/>
          <w:szCs w:val="24"/>
        </w:rPr>
        <w:t>”</w:t>
      </w:r>
      <w:r w:rsidRPr="00746D46">
        <w:rPr>
          <w:bCs/>
          <w:sz w:val="24"/>
          <w:szCs w:val="24"/>
        </w:rPr>
        <w:t xml:space="preserve"> (CDDH-CORP (2014)08)</w:t>
      </w:r>
      <w:r>
        <w:rPr>
          <w:bCs/>
          <w:sz w:val="24"/>
          <w:szCs w:val="24"/>
        </w:rPr>
        <w:t>,</w:t>
      </w:r>
      <w:r w:rsidRPr="00746D46">
        <w:rPr>
          <w:bCs/>
          <w:sz w:val="24"/>
          <w:szCs w:val="24"/>
        </w:rPr>
        <w:t xml:space="preserve"> </w:t>
      </w:r>
      <w:r w:rsidRPr="006E403D">
        <w:rPr>
          <w:bCs/>
          <w:sz w:val="24"/>
          <w:szCs w:val="24"/>
        </w:rPr>
        <w:t>który został</w:t>
      </w:r>
      <w:r w:rsidRPr="00746D46">
        <w:rPr>
          <w:bCs/>
          <w:sz w:val="24"/>
          <w:szCs w:val="24"/>
        </w:rPr>
        <w:t xml:space="preserve"> przygotowany przez Sekretariat i jest dostępny na stronie internetowej CDDH-CORP. W związku z tym państwa członkowskie powinny również brać pod uwagę ogólne komentarze i oświadczenia objaśniające kompetentnych międzynarodowych organów kontrolnych, w szczególności Europejskiego Komitetu Praw Społecznych (ECSR) oraz Komitet</w:t>
      </w:r>
      <w:r>
        <w:rPr>
          <w:bCs/>
          <w:sz w:val="24"/>
          <w:szCs w:val="24"/>
        </w:rPr>
        <w:t>u</w:t>
      </w:r>
      <w:r w:rsidRPr="00746D46">
        <w:rPr>
          <w:bCs/>
          <w:sz w:val="24"/>
          <w:szCs w:val="24"/>
        </w:rPr>
        <w:t xml:space="preserve"> Praw Gospodarczych, Społecznych i Kulturalnych (CESCR).</w:t>
      </w:r>
    </w:p>
    <w:p w:rsidR="00591EC1" w:rsidRPr="00746D46" w:rsidRDefault="00591EC1" w:rsidP="00E7396B">
      <w:pPr>
        <w:pStyle w:val="Akapitzlist"/>
        <w:numPr>
          <w:ilvl w:val="0"/>
          <w:numId w:val="19"/>
        </w:numPr>
        <w:spacing w:before="120" w:after="120" w:line="240" w:lineRule="auto"/>
        <w:ind w:left="567"/>
        <w:contextualSpacing w:val="0"/>
        <w:jc w:val="both"/>
        <w:rPr>
          <w:bCs/>
          <w:sz w:val="24"/>
          <w:szCs w:val="24"/>
        </w:rPr>
      </w:pPr>
      <w:r w:rsidRPr="00746D46">
        <w:rPr>
          <w:bCs/>
          <w:sz w:val="24"/>
          <w:szCs w:val="24"/>
        </w:rPr>
        <w:t>Rekomendacja odnosi się również do osób pracujących w gospodarce nieformalnej</w:t>
      </w:r>
      <w:r>
        <w:rPr>
          <w:bCs/>
          <w:sz w:val="24"/>
          <w:szCs w:val="24"/>
        </w:rPr>
        <w:t xml:space="preserve"> </w:t>
      </w:r>
      <w:r w:rsidRPr="00746D46">
        <w:rPr>
          <w:bCs/>
          <w:sz w:val="24"/>
          <w:szCs w:val="24"/>
        </w:rPr>
        <w:t>oraz do potrzeby ich ochrony. Zostało to szczególnie podkreślone przez Zalecenie MOP „Przejście z gospodarki nieformalnej do formalnej" z 2015 r. (nr 204). Zalecenie to zawiera wytyczne dla państw, między innymi w celu „ułatwienia przejścia pracowników i jednostek gospodarczych z nieformalnej do formalne</w:t>
      </w:r>
      <w:r>
        <w:rPr>
          <w:bCs/>
          <w:sz w:val="24"/>
          <w:szCs w:val="24"/>
        </w:rPr>
        <w:t>j</w:t>
      </w:r>
      <w:r w:rsidRPr="00746D46">
        <w:rPr>
          <w:bCs/>
          <w:sz w:val="24"/>
          <w:szCs w:val="24"/>
        </w:rPr>
        <w:t xml:space="preserve"> gospodarki, przy jednoczesnym poszanowaniu podstawowych praw pracowniczych i zapewnieniu możliwości zabezpieczenia dochodów, źródła </w:t>
      </w:r>
      <w:r>
        <w:rPr>
          <w:bCs/>
          <w:sz w:val="24"/>
          <w:szCs w:val="24"/>
        </w:rPr>
        <w:t xml:space="preserve">utrzymania i przedsiębiorczości” </w:t>
      </w:r>
      <w:r w:rsidRPr="00746D46">
        <w:rPr>
          <w:bCs/>
          <w:sz w:val="24"/>
          <w:szCs w:val="24"/>
        </w:rPr>
        <w:t>(paragraf 1</w:t>
      </w:r>
      <w:r>
        <w:rPr>
          <w:bCs/>
          <w:sz w:val="24"/>
          <w:szCs w:val="24"/>
        </w:rPr>
        <w:t xml:space="preserve"> lit.</w:t>
      </w:r>
      <w:r w:rsidRPr="00746D46">
        <w:rPr>
          <w:bCs/>
          <w:sz w:val="24"/>
          <w:szCs w:val="24"/>
        </w:rPr>
        <w:t xml:space="preserve"> a) i </w:t>
      </w:r>
      <w:r w:rsidRPr="00746D46">
        <w:rPr>
          <w:bCs/>
          <w:sz w:val="24"/>
          <w:szCs w:val="24"/>
        </w:rPr>
        <w:lastRenderedPageBreak/>
        <w:t>definiuje p</w:t>
      </w:r>
      <w:r>
        <w:rPr>
          <w:bCs/>
          <w:sz w:val="24"/>
          <w:szCs w:val="24"/>
        </w:rPr>
        <w:t>ojęcie „gospodarki nieformalnej”</w:t>
      </w:r>
      <w:r w:rsidRPr="00746D46">
        <w:rPr>
          <w:bCs/>
          <w:sz w:val="24"/>
          <w:szCs w:val="24"/>
        </w:rPr>
        <w:t xml:space="preserve">, odwołując się „do wszystkich rodzajów działalności gospodarczej wykonywanej przez pracowników i jednostki gospodarcze, które – według prawa lub w praktyce – nie są w ogóle objęte formalnymi uzgodnieniami lub są nimi objęte w niewystarczającym stopniu" (paragraf 2 </w:t>
      </w:r>
      <w:r>
        <w:rPr>
          <w:bCs/>
          <w:sz w:val="24"/>
          <w:szCs w:val="24"/>
        </w:rPr>
        <w:t xml:space="preserve">lit. </w:t>
      </w:r>
      <w:r w:rsidRPr="00746D46">
        <w:rPr>
          <w:bCs/>
          <w:sz w:val="24"/>
          <w:szCs w:val="24"/>
        </w:rPr>
        <w:t>a).</w:t>
      </w:r>
    </w:p>
    <w:p w:rsidR="00591EC1" w:rsidRPr="00746D46" w:rsidRDefault="00591EC1" w:rsidP="00E7396B">
      <w:pPr>
        <w:pStyle w:val="Akapitzlist"/>
        <w:numPr>
          <w:ilvl w:val="0"/>
          <w:numId w:val="19"/>
        </w:numPr>
        <w:spacing w:before="120" w:after="120" w:line="240" w:lineRule="auto"/>
        <w:ind w:left="567"/>
        <w:contextualSpacing w:val="0"/>
        <w:jc w:val="both"/>
        <w:rPr>
          <w:bCs/>
          <w:sz w:val="24"/>
          <w:szCs w:val="24"/>
        </w:rPr>
      </w:pPr>
      <w:r w:rsidRPr="00746D46">
        <w:rPr>
          <w:bCs/>
          <w:sz w:val="24"/>
          <w:szCs w:val="24"/>
        </w:rPr>
        <w:t xml:space="preserve">Wreszcie </w:t>
      </w:r>
      <w:r w:rsidRPr="00746D46">
        <w:rPr>
          <w:bCs/>
          <w:sz w:val="24"/>
          <w:szCs w:val="24"/>
          <w:u w:val="single"/>
        </w:rPr>
        <w:t>paragraf 60 Rekomendacji</w:t>
      </w:r>
      <w:r w:rsidRPr="00746D46">
        <w:rPr>
          <w:bCs/>
          <w:sz w:val="24"/>
          <w:szCs w:val="24"/>
        </w:rPr>
        <w:t xml:space="preserve"> zaleca, aby odpowiedni partnerzy społeczni uczestniczyli w opracowywaniu i wdrażaniu strategii w sprawach, które są szczególnie istotne z punktu widzenia praw pracowniczych, </w:t>
      </w:r>
      <w:r>
        <w:rPr>
          <w:bCs/>
          <w:sz w:val="24"/>
          <w:szCs w:val="24"/>
        </w:rPr>
        <w:t>co</w:t>
      </w:r>
      <w:r w:rsidRPr="00746D46">
        <w:rPr>
          <w:bCs/>
          <w:sz w:val="24"/>
          <w:szCs w:val="24"/>
        </w:rPr>
        <w:t xml:space="preserve"> wykracza poza udział w opracowywaniu Krajowych Planów Działania. Zasada konsultacji trójstronnych została zapisana w Konwencji MOP dotyczącej konsultacji trójstronnych (Międzynarodowe Standardy Pracy) z 1976 r. (nr 144), jak również w szczegółowych wymaganiach dotyczących konsultacji</w:t>
      </w:r>
      <w:r>
        <w:rPr>
          <w:bCs/>
          <w:sz w:val="24"/>
          <w:szCs w:val="24"/>
        </w:rPr>
        <w:t xml:space="preserve"> sformułowanych</w:t>
      </w:r>
      <w:r w:rsidRPr="00746D46">
        <w:rPr>
          <w:bCs/>
          <w:sz w:val="24"/>
          <w:szCs w:val="24"/>
        </w:rPr>
        <w:t xml:space="preserve"> w wielu innych konwencjach i zaleceniach MOP.</w:t>
      </w:r>
    </w:p>
    <w:p w:rsidR="00591EC1" w:rsidRPr="00746D46" w:rsidRDefault="00591EC1" w:rsidP="00E7396B">
      <w:pPr>
        <w:pStyle w:val="Akapitzlist"/>
        <w:spacing w:line="240" w:lineRule="auto"/>
        <w:ind w:left="1069"/>
        <w:jc w:val="both"/>
        <w:rPr>
          <w:bCs/>
          <w:sz w:val="24"/>
          <w:szCs w:val="24"/>
        </w:rPr>
      </w:pPr>
    </w:p>
    <w:p w:rsidR="00591EC1" w:rsidRDefault="00591EC1" w:rsidP="00E7396B">
      <w:pPr>
        <w:pStyle w:val="Akapitzlist"/>
        <w:numPr>
          <w:ilvl w:val="0"/>
          <w:numId w:val="31"/>
        </w:numPr>
        <w:spacing w:before="120" w:after="120" w:line="240" w:lineRule="auto"/>
        <w:contextualSpacing w:val="0"/>
        <w:jc w:val="both"/>
        <w:rPr>
          <w:b/>
          <w:bCs/>
          <w:sz w:val="24"/>
          <w:szCs w:val="24"/>
        </w:rPr>
      </w:pPr>
      <w:r w:rsidRPr="00746D46">
        <w:rPr>
          <w:b/>
          <w:bCs/>
          <w:sz w:val="24"/>
          <w:szCs w:val="24"/>
        </w:rPr>
        <w:t>Dodatkowa ochrona dzieci</w:t>
      </w:r>
    </w:p>
    <w:p w:rsidR="00277B72" w:rsidRPr="00746D46" w:rsidRDefault="00277B72" w:rsidP="00277B72">
      <w:pPr>
        <w:pStyle w:val="Akapitzlist"/>
        <w:spacing w:before="120" w:after="120" w:line="240" w:lineRule="auto"/>
        <w:ind w:left="567"/>
        <w:contextualSpacing w:val="0"/>
        <w:jc w:val="both"/>
        <w:rPr>
          <w:b/>
          <w:bCs/>
          <w:sz w:val="24"/>
          <w:szCs w:val="24"/>
        </w:rPr>
      </w:pPr>
    </w:p>
    <w:p w:rsidR="00591EC1" w:rsidRPr="00746D46" w:rsidRDefault="00591EC1" w:rsidP="00E7396B">
      <w:pPr>
        <w:spacing w:before="120" w:after="120" w:line="240" w:lineRule="auto"/>
        <w:ind w:left="567"/>
        <w:jc w:val="both"/>
        <w:rPr>
          <w:bCs/>
          <w:i/>
          <w:sz w:val="24"/>
          <w:szCs w:val="24"/>
        </w:rPr>
      </w:pPr>
      <w:r>
        <w:rPr>
          <w:bCs/>
          <w:i/>
          <w:sz w:val="24"/>
          <w:szCs w:val="24"/>
        </w:rPr>
        <w:t>S</w:t>
      </w:r>
      <w:r w:rsidRPr="00746D46">
        <w:rPr>
          <w:bCs/>
          <w:i/>
          <w:sz w:val="24"/>
          <w:szCs w:val="24"/>
        </w:rPr>
        <w:t xml:space="preserve">tandardy </w:t>
      </w:r>
      <w:r>
        <w:rPr>
          <w:bCs/>
          <w:i/>
          <w:sz w:val="24"/>
          <w:szCs w:val="24"/>
        </w:rPr>
        <w:t>m</w:t>
      </w:r>
      <w:r w:rsidRPr="00746D46">
        <w:rPr>
          <w:bCs/>
          <w:i/>
          <w:sz w:val="24"/>
          <w:szCs w:val="24"/>
        </w:rPr>
        <w:t xml:space="preserve">iędzynarodowe </w:t>
      </w:r>
    </w:p>
    <w:p w:rsidR="00591EC1" w:rsidRPr="00746D46" w:rsidRDefault="00591EC1" w:rsidP="00E7396B">
      <w:pPr>
        <w:pStyle w:val="Akapitzlist"/>
        <w:numPr>
          <w:ilvl w:val="0"/>
          <w:numId w:val="19"/>
        </w:numPr>
        <w:spacing w:before="120" w:after="120" w:line="240" w:lineRule="auto"/>
        <w:ind w:left="567"/>
        <w:contextualSpacing w:val="0"/>
        <w:jc w:val="both"/>
        <w:rPr>
          <w:bCs/>
          <w:sz w:val="24"/>
          <w:szCs w:val="24"/>
        </w:rPr>
      </w:pPr>
      <w:r w:rsidRPr="008128B8">
        <w:rPr>
          <w:bCs/>
          <w:sz w:val="24"/>
          <w:szCs w:val="24"/>
        </w:rPr>
        <w:t>Rekomendacja zawiera rozdział dotyczący ochrony dzieci ze względu na ich</w:t>
      </w:r>
      <w:r w:rsidRPr="00746D46">
        <w:rPr>
          <w:bCs/>
          <w:sz w:val="24"/>
          <w:szCs w:val="24"/>
        </w:rPr>
        <w:t xml:space="preserve"> szczególną wrażliwość, </w:t>
      </w:r>
      <w:r>
        <w:rPr>
          <w:bCs/>
          <w:sz w:val="24"/>
          <w:szCs w:val="24"/>
        </w:rPr>
        <w:t>której istotnym źródłem jest</w:t>
      </w:r>
      <w:r w:rsidRPr="00746D46">
        <w:rPr>
          <w:bCs/>
          <w:sz w:val="24"/>
          <w:szCs w:val="24"/>
        </w:rPr>
        <w:t xml:space="preserve"> zjawisko pracy dzieci. Rekomendacja zawiera wyraźne odniesienie do „Komentarza ogólnego nr 16 dotyczącego obowiązków państwa w zakresie oddziaływania sektora biznesowego na prawa dzieci". Komentarz ogólny nr 16 został przyjęty przez Komitet Praw Dziecka w dniu 7 lutego 2013 r. Określa on rodzaj i zakres obowiązków państwa w odniesieniu do praw człowieka i biznesu, jak również obowiązk</w:t>
      </w:r>
      <w:r>
        <w:rPr>
          <w:bCs/>
          <w:sz w:val="24"/>
          <w:szCs w:val="24"/>
        </w:rPr>
        <w:t>i</w:t>
      </w:r>
      <w:r w:rsidRPr="00746D46">
        <w:rPr>
          <w:bCs/>
          <w:sz w:val="24"/>
          <w:szCs w:val="24"/>
        </w:rPr>
        <w:t xml:space="preserve"> państwa w określonych kontekstach (takich jak nieformalna gospodarka oraz sytuacje kryzysowe i konfliktowe). Komentarz ogólny określa również ramy dla realizacji jego zaleceń.</w:t>
      </w:r>
    </w:p>
    <w:p w:rsidR="00591EC1" w:rsidRPr="00746D46" w:rsidRDefault="00591EC1" w:rsidP="00E7396B">
      <w:pPr>
        <w:pStyle w:val="Akapitzlist"/>
        <w:numPr>
          <w:ilvl w:val="0"/>
          <w:numId w:val="19"/>
        </w:numPr>
        <w:spacing w:before="120" w:after="120" w:line="240" w:lineRule="auto"/>
        <w:ind w:left="567"/>
        <w:contextualSpacing w:val="0"/>
        <w:jc w:val="both"/>
        <w:rPr>
          <w:bCs/>
          <w:sz w:val="24"/>
          <w:szCs w:val="24"/>
        </w:rPr>
      </w:pPr>
      <w:r w:rsidRPr="001A226A">
        <w:rPr>
          <w:bCs/>
          <w:sz w:val="24"/>
          <w:szCs w:val="24"/>
        </w:rPr>
        <w:t>Paragraf</w:t>
      </w:r>
      <w:r w:rsidRPr="00746D46">
        <w:rPr>
          <w:bCs/>
          <w:sz w:val="24"/>
          <w:szCs w:val="24"/>
          <w:u w:val="single"/>
        </w:rPr>
        <w:t xml:space="preserve"> 61 Rekomendacji</w:t>
      </w:r>
      <w:r w:rsidRPr="00746D46">
        <w:rPr>
          <w:bCs/>
          <w:sz w:val="24"/>
          <w:szCs w:val="24"/>
        </w:rPr>
        <w:t xml:space="preserve"> zachęca państwa członkowskie, aby wymagały od przedsiębiorstw przestrzegania praw dzieci, gdy prowadzą one działalność w ramach ich jurysdykcji terytorialnej oraz, w stosownych przypadkach, w ich całej działalności za granicą, jeśli mają siedzibę w obrębie ich jurysdykcji. W tym zakresie istotny jest, wynikający</w:t>
      </w:r>
      <w:r>
        <w:rPr>
          <w:bCs/>
          <w:sz w:val="24"/>
          <w:szCs w:val="24"/>
        </w:rPr>
        <w:t xml:space="preserve"> </w:t>
      </w:r>
      <w:r w:rsidRPr="00746D46">
        <w:rPr>
          <w:bCs/>
          <w:sz w:val="24"/>
          <w:szCs w:val="24"/>
        </w:rPr>
        <w:t>z art. 26 Konwencji o ochronie dzieci przed seksualnym wykorzystywaniem i niegodziwym traktowaniem w celach seksualnych,</w:t>
      </w:r>
      <w:r>
        <w:rPr>
          <w:bCs/>
          <w:sz w:val="24"/>
          <w:szCs w:val="24"/>
        </w:rPr>
        <w:t xml:space="preserve"> </w:t>
      </w:r>
      <w:r w:rsidRPr="00746D46">
        <w:rPr>
          <w:bCs/>
          <w:sz w:val="24"/>
          <w:szCs w:val="24"/>
        </w:rPr>
        <w:t xml:space="preserve">obowiązek zapewnienia, że osoba prawna również ponosi odpowiedzialność za przestępstwa określone w powyższej Konwencji. </w:t>
      </w:r>
      <w:r w:rsidRPr="00746D46">
        <w:rPr>
          <w:bCs/>
          <w:sz w:val="24"/>
          <w:szCs w:val="24"/>
          <w:u w:val="single"/>
        </w:rPr>
        <w:t>Paragraf 62 Rekomendacji</w:t>
      </w:r>
      <w:r w:rsidRPr="00746D46">
        <w:rPr>
          <w:bCs/>
          <w:sz w:val="24"/>
          <w:szCs w:val="24"/>
        </w:rPr>
        <w:t xml:space="preserve"> odnosi się do europejskich i międzynarodowych standardów</w:t>
      </w:r>
      <w:r>
        <w:rPr>
          <w:bCs/>
          <w:sz w:val="24"/>
          <w:szCs w:val="24"/>
        </w:rPr>
        <w:t>, które są</w:t>
      </w:r>
      <w:r w:rsidRPr="00746D46">
        <w:rPr>
          <w:bCs/>
          <w:sz w:val="24"/>
          <w:szCs w:val="24"/>
        </w:rPr>
        <w:t xml:space="preserve"> istotn</w:t>
      </w:r>
      <w:r>
        <w:rPr>
          <w:bCs/>
          <w:sz w:val="24"/>
          <w:szCs w:val="24"/>
        </w:rPr>
        <w:t>e</w:t>
      </w:r>
      <w:r w:rsidRPr="00746D46">
        <w:rPr>
          <w:bCs/>
          <w:sz w:val="24"/>
          <w:szCs w:val="24"/>
        </w:rPr>
        <w:t xml:space="preserve"> dla państw członkowskich </w:t>
      </w:r>
      <w:r>
        <w:rPr>
          <w:bCs/>
          <w:sz w:val="24"/>
          <w:szCs w:val="24"/>
        </w:rPr>
        <w:t>z punktu widzenia</w:t>
      </w:r>
      <w:r w:rsidRPr="00746D46">
        <w:rPr>
          <w:bCs/>
          <w:sz w:val="24"/>
          <w:szCs w:val="24"/>
        </w:rPr>
        <w:t xml:space="preserve"> wypełniani</w:t>
      </w:r>
      <w:r>
        <w:rPr>
          <w:bCs/>
          <w:sz w:val="24"/>
          <w:szCs w:val="24"/>
        </w:rPr>
        <w:t>a</w:t>
      </w:r>
      <w:r w:rsidRPr="00746D46">
        <w:rPr>
          <w:bCs/>
          <w:sz w:val="24"/>
          <w:szCs w:val="24"/>
        </w:rPr>
        <w:t xml:space="preserve"> ich zobowiązań w zakresie ochrony dzieci. </w:t>
      </w:r>
      <w:r>
        <w:rPr>
          <w:bCs/>
          <w:sz w:val="24"/>
          <w:szCs w:val="24"/>
        </w:rPr>
        <w:t>Konwencja o ochronie praw człowieka i podstawowych wolności</w:t>
      </w:r>
      <w:r w:rsidRPr="00746D46">
        <w:rPr>
          <w:bCs/>
          <w:sz w:val="24"/>
          <w:szCs w:val="24"/>
        </w:rPr>
        <w:t xml:space="preserve"> oraz Europejska Karta Społeczna (zrewidowana) zostały również wymienione jako zawierające odpowiednie przepisy. Europejski Trybunał Praw Człowieka konsekwentnie orzekał, że państwa mają pozytywny lub afirmatywny obowiązek ochrony praw dzieci w pewnych okolicznościach. Niektóre z tych sytuacji mogą być szczególnie istotne w kontekście biznesu. Na przykład Trybunał stwierdził naruszenie art. 4 Konwencji (zakaz niewolnictwa, </w:t>
      </w:r>
      <w:r>
        <w:rPr>
          <w:bCs/>
          <w:sz w:val="24"/>
          <w:szCs w:val="24"/>
        </w:rPr>
        <w:t>poddaństwa</w:t>
      </w:r>
      <w:r w:rsidRPr="00746D46">
        <w:rPr>
          <w:bCs/>
          <w:sz w:val="24"/>
          <w:szCs w:val="24"/>
        </w:rPr>
        <w:t>, pracy przymusowej lub obowiązkowej), gdy nieletni pracował bez wynagrodzenia przez 15 godzin dziennie przez kilka lat.</w:t>
      </w:r>
      <w:r w:rsidRPr="00746D46">
        <w:rPr>
          <w:rStyle w:val="Odwoanieprzypisukocowego"/>
          <w:bCs/>
          <w:sz w:val="24"/>
          <w:szCs w:val="24"/>
        </w:rPr>
        <w:endnoteReference w:id="45"/>
      </w:r>
      <w:r w:rsidRPr="00746D46">
        <w:rPr>
          <w:bCs/>
          <w:sz w:val="24"/>
          <w:szCs w:val="24"/>
        </w:rPr>
        <w:t xml:space="preserve"> Art. 7 Europejskiej Karty Społecznej (zrewidowanej) określa „prawo dzieci i </w:t>
      </w:r>
      <w:r>
        <w:rPr>
          <w:bCs/>
          <w:sz w:val="24"/>
          <w:szCs w:val="24"/>
        </w:rPr>
        <w:t>młodocianych do ochrony”</w:t>
      </w:r>
      <w:r w:rsidRPr="00746D46">
        <w:rPr>
          <w:bCs/>
          <w:sz w:val="24"/>
          <w:szCs w:val="24"/>
        </w:rPr>
        <w:t xml:space="preserve"> z kilkoma szczegółowymi wymaganiami dotyczącymi warunków pracy, a art. 17 obejmuje prawo dzieci i młodych osób do ochrony socjalnej, </w:t>
      </w:r>
      <w:r w:rsidRPr="00746D46">
        <w:rPr>
          <w:bCs/>
          <w:sz w:val="24"/>
          <w:szCs w:val="24"/>
        </w:rPr>
        <w:lastRenderedPageBreak/>
        <w:t xml:space="preserve">prawnej i ekonomicznej. Przegląd istotnego orzecznictwa dotyczącego praw dzieci, w tym decyzji Europejskiego Komitetu Praw Społecznych, można znaleźć w dokumencie </w:t>
      </w:r>
      <w:r w:rsidRPr="00746D46">
        <w:rPr>
          <w:sz w:val="24"/>
          <w:szCs w:val="24"/>
        </w:rPr>
        <w:t>„</w:t>
      </w:r>
      <w:r w:rsidRPr="00A42E41">
        <w:rPr>
          <w:sz w:val="24"/>
          <w:szCs w:val="24"/>
        </w:rPr>
        <w:t>Istniejące zobowiązania państw członkowskich wynikając</w:t>
      </w:r>
      <w:r>
        <w:rPr>
          <w:sz w:val="24"/>
          <w:szCs w:val="24"/>
        </w:rPr>
        <w:t>e</w:t>
      </w:r>
      <w:r w:rsidRPr="00A42E41">
        <w:rPr>
          <w:sz w:val="24"/>
          <w:szCs w:val="24"/>
        </w:rPr>
        <w:t xml:space="preserve"> z traktatów Rady Europy i innych instrumentów w kontekście praw człowie</w:t>
      </w:r>
      <w:r>
        <w:rPr>
          <w:sz w:val="24"/>
          <w:szCs w:val="24"/>
        </w:rPr>
        <w:t>ka i biznesu</w:t>
      </w:r>
      <w:r>
        <w:rPr>
          <w:bCs/>
          <w:sz w:val="24"/>
          <w:szCs w:val="24"/>
        </w:rPr>
        <w:t>”</w:t>
      </w:r>
      <w:r w:rsidRPr="00746D46">
        <w:rPr>
          <w:bCs/>
          <w:sz w:val="24"/>
          <w:szCs w:val="24"/>
        </w:rPr>
        <w:t xml:space="preserve"> (CDDH-CORP (2014)08), przygotowanym przez Sekretariat i dostępnym na stronie internetowej CDDH-CORP. Inne odpowiednie</w:t>
      </w:r>
      <w:r w:rsidRPr="00746D46">
        <w:rPr>
          <w:sz w:val="24"/>
          <w:szCs w:val="24"/>
        </w:rPr>
        <w:t xml:space="preserve"> </w:t>
      </w:r>
      <w:r w:rsidRPr="00746D46">
        <w:rPr>
          <w:bCs/>
          <w:sz w:val="24"/>
          <w:szCs w:val="24"/>
        </w:rPr>
        <w:t>europejskie instrumenty obejmują w szczególności Konwencję Rady Europy o ochronie dzieci przed seksualnym wykorzystywaniem i niegodziwym traktowaniem w celach seksualnych. Na szczeblu międzynarodowym państwa członkowskie powinny zwrócić uwagę na Konwencję MOP dotycząc</w:t>
      </w:r>
      <w:r>
        <w:rPr>
          <w:bCs/>
          <w:sz w:val="24"/>
          <w:szCs w:val="24"/>
        </w:rPr>
        <w:t>ą minimalnego wieku z 1973 r. i</w:t>
      </w:r>
      <w:r w:rsidRPr="00746D46">
        <w:rPr>
          <w:bCs/>
          <w:sz w:val="24"/>
          <w:szCs w:val="24"/>
        </w:rPr>
        <w:t xml:space="preserve"> Konwencję MOP dotyczącą najgorszych form pracy dzieci z 1999 r., a także inn</w:t>
      </w:r>
      <w:r>
        <w:rPr>
          <w:bCs/>
          <w:sz w:val="24"/>
          <w:szCs w:val="24"/>
        </w:rPr>
        <w:t>e</w:t>
      </w:r>
      <w:r w:rsidRPr="00746D46">
        <w:rPr>
          <w:bCs/>
          <w:sz w:val="24"/>
          <w:szCs w:val="24"/>
        </w:rPr>
        <w:t xml:space="preserve"> instrument</w:t>
      </w:r>
      <w:r>
        <w:rPr>
          <w:bCs/>
          <w:sz w:val="24"/>
          <w:szCs w:val="24"/>
        </w:rPr>
        <w:t>y</w:t>
      </w:r>
      <w:r w:rsidRPr="00746D46">
        <w:rPr>
          <w:bCs/>
          <w:sz w:val="24"/>
          <w:szCs w:val="24"/>
        </w:rPr>
        <w:t xml:space="preserve"> MOP dotycząc</w:t>
      </w:r>
      <w:r>
        <w:rPr>
          <w:bCs/>
          <w:sz w:val="24"/>
          <w:szCs w:val="24"/>
        </w:rPr>
        <w:t>e</w:t>
      </w:r>
      <w:r w:rsidRPr="00746D46">
        <w:rPr>
          <w:bCs/>
          <w:sz w:val="24"/>
          <w:szCs w:val="24"/>
        </w:rPr>
        <w:t xml:space="preserve"> ochrony dzieci i młodych ludzi. Konwencja ONZ o prawach dziecka została również </w:t>
      </w:r>
      <w:r>
        <w:rPr>
          <w:bCs/>
          <w:sz w:val="24"/>
          <w:szCs w:val="24"/>
        </w:rPr>
        <w:t>p</w:t>
      </w:r>
      <w:r w:rsidRPr="00746D46">
        <w:rPr>
          <w:bCs/>
          <w:sz w:val="24"/>
          <w:szCs w:val="24"/>
        </w:rPr>
        <w:t xml:space="preserve">oszerzona </w:t>
      </w:r>
      <w:r>
        <w:rPr>
          <w:bCs/>
          <w:sz w:val="24"/>
          <w:szCs w:val="24"/>
        </w:rPr>
        <w:t>o</w:t>
      </w:r>
      <w:r w:rsidRPr="00746D46">
        <w:rPr>
          <w:bCs/>
          <w:sz w:val="24"/>
          <w:szCs w:val="24"/>
        </w:rPr>
        <w:t xml:space="preserve"> dwa protokoły fakultatywne w sprawie angażowania dzieci w konflikty zbrojne oraz w sprawie handlu dziećmi, dziecięcej prostytucji i dziecięcej pornografii. Wiele międzynarodowych traktatów praw człowieka zawiera również szczegółowe odniesienia do dzieci, </w:t>
      </w:r>
      <w:r>
        <w:rPr>
          <w:bCs/>
          <w:sz w:val="24"/>
          <w:szCs w:val="24"/>
        </w:rPr>
        <w:t>np.</w:t>
      </w:r>
      <w:r w:rsidRPr="00746D46">
        <w:rPr>
          <w:bCs/>
          <w:sz w:val="24"/>
          <w:szCs w:val="24"/>
        </w:rPr>
        <w:t xml:space="preserve"> art. 10 </w:t>
      </w:r>
      <w:r>
        <w:rPr>
          <w:bCs/>
          <w:sz w:val="24"/>
          <w:szCs w:val="24"/>
        </w:rPr>
        <w:t xml:space="preserve">ust. </w:t>
      </w:r>
      <w:r w:rsidRPr="00746D46">
        <w:rPr>
          <w:bCs/>
          <w:sz w:val="24"/>
          <w:szCs w:val="24"/>
        </w:rPr>
        <w:t>4 Międzynarodowego Paktu Praw Gospodarczych, Społecznych i Kulturalnych.</w:t>
      </w:r>
    </w:p>
    <w:p w:rsidR="00591EC1" w:rsidRPr="00746D46" w:rsidRDefault="00591EC1" w:rsidP="00E7396B">
      <w:pPr>
        <w:pStyle w:val="Akapitzlist"/>
        <w:spacing w:line="240" w:lineRule="auto"/>
        <w:ind w:left="1069"/>
        <w:jc w:val="both"/>
        <w:rPr>
          <w:bCs/>
          <w:i/>
          <w:sz w:val="24"/>
          <w:szCs w:val="24"/>
        </w:rPr>
      </w:pPr>
    </w:p>
    <w:p w:rsidR="00591EC1" w:rsidRPr="00746D46" w:rsidRDefault="00591EC1" w:rsidP="00E7396B">
      <w:pPr>
        <w:spacing w:before="120" w:after="120" w:line="240" w:lineRule="auto"/>
        <w:ind w:left="567"/>
        <w:jc w:val="both"/>
        <w:rPr>
          <w:bCs/>
          <w:i/>
          <w:sz w:val="24"/>
          <w:szCs w:val="24"/>
        </w:rPr>
      </w:pPr>
      <w:r w:rsidRPr="00746D46">
        <w:rPr>
          <w:bCs/>
          <w:i/>
          <w:sz w:val="24"/>
          <w:szCs w:val="24"/>
        </w:rPr>
        <w:t>Opracowywanie i wdrażanie strategii dotyczących dzieci</w:t>
      </w:r>
    </w:p>
    <w:p w:rsidR="00591EC1" w:rsidRPr="00746D46" w:rsidRDefault="00591EC1" w:rsidP="00E7396B">
      <w:pPr>
        <w:pStyle w:val="Akapitzlist"/>
        <w:numPr>
          <w:ilvl w:val="0"/>
          <w:numId w:val="19"/>
        </w:numPr>
        <w:spacing w:before="120" w:after="120" w:line="240" w:lineRule="auto"/>
        <w:ind w:left="567"/>
        <w:contextualSpacing w:val="0"/>
        <w:jc w:val="both"/>
        <w:rPr>
          <w:bCs/>
          <w:sz w:val="24"/>
          <w:szCs w:val="24"/>
        </w:rPr>
      </w:pPr>
      <w:r w:rsidRPr="00746D46">
        <w:rPr>
          <w:bCs/>
          <w:sz w:val="24"/>
          <w:szCs w:val="24"/>
          <w:u w:val="single"/>
        </w:rPr>
        <w:t>Paragraf 63 Rekomendacji</w:t>
      </w:r>
      <w:r w:rsidRPr="00746D46">
        <w:rPr>
          <w:bCs/>
          <w:sz w:val="24"/>
          <w:szCs w:val="24"/>
        </w:rPr>
        <w:t xml:space="preserve"> wzywa państwa członkowskie do zaangażowania wszystkich zainteresowanych stron w opracowywanie i wdrażanie strategii </w:t>
      </w:r>
      <w:r>
        <w:rPr>
          <w:bCs/>
          <w:sz w:val="24"/>
          <w:szCs w:val="24"/>
        </w:rPr>
        <w:t>dotyczących</w:t>
      </w:r>
      <w:r w:rsidRPr="00746D46">
        <w:rPr>
          <w:bCs/>
          <w:sz w:val="24"/>
          <w:szCs w:val="24"/>
        </w:rPr>
        <w:t xml:space="preserve"> spraw, które są szczególnie istotne z punktu widzenia praw dziecka. Konwencja o ochronie dzieci przed seksualnym wykorzystywaniem i niegodziwym traktowaniem w celach seksualnych przewiduje różne środki, </w:t>
      </w:r>
      <w:r>
        <w:rPr>
          <w:bCs/>
          <w:sz w:val="24"/>
          <w:szCs w:val="24"/>
        </w:rPr>
        <w:t>w tym</w:t>
      </w:r>
      <w:r w:rsidRPr="00746D46">
        <w:rPr>
          <w:bCs/>
          <w:sz w:val="24"/>
          <w:szCs w:val="24"/>
        </w:rPr>
        <w:t xml:space="preserve"> zapobiegawcze (na przykład szkolenia i podnoszenie świadomości), ochrony i pomocy ofiarom (telefony zaufania) oraz programy interwencyjne. Daje ona również szczegółowe wytyczne dotyczące materialnego prawa karnego i związanych z nim </w:t>
      </w:r>
      <w:r>
        <w:rPr>
          <w:bCs/>
          <w:sz w:val="24"/>
          <w:szCs w:val="24"/>
        </w:rPr>
        <w:t>postępowań przygotowawczych</w:t>
      </w:r>
      <w:r w:rsidRPr="00746D46">
        <w:rPr>
          <w:bCs/>
          <w:sz w:val="24"/>
          <w:szCs w:val="24"/>
        </w:rPr>
        <w:t>. Art. 9 Konwencji zachęca również do bezpośredniego udziału dzieci w opracowywaniu i wdrażaniu strategii państwowych.</w:t>
      </w:r>
    </w:p>
    <w:p w:rsidR="00591EC1" w:rsidRPr="00746D46" w:rsidRDefault="00591EC1" w:rsidP="00E7396B">
      <w:pPr>
        <w:pStyle w:val="Akapitzlist"/>
        <w:numPr>
          <w:ilvl w:val="0"/>
          <w:numId w:val="19"/>
        </w:numPr>
        <w:spacing w:before="120" w:after="120" w:line="240" w:lineRule="auto"/>
        <w:ind w:left="567"/>
        <w:contextualSpacing w:val="0"/>
        <w:jc w:val="both"/>
        <w:rPr>
          <w:bCs/>
          <w:sz w:val="24"/>
          <w:szCs w:val="24"/>
        </w:rPr>
      </w:pPr>
      <w:r w:rsidRPr="00746D46">
        <w:rPr>
          <w:bCs/>
          <w:sz w:val="24"/>
          <w:szCs w:val="24"/>
          <w:u w:val="single"/>
        </w:rPr>
        <w:t>Paragraf 64 Rekomendacji</w:t>
      </w:r>
      <w:r w:rsidRPr="00746D46">
        <w:rPr>
          <w:bCs/>
          <w:sz w:val="24"/>
          <w:szCs w:val="24"/>
        </w:rPr>
        <w:t xml:space="preserve"> przedstawia różne sposoby mające na celu popraw</w:t>
      </w:r>
      <w:r>
        <w:rPr>
          <w:bCs/>
          <w:sz w:val="24"/>
          <w:szCs w:val="24"/>
        </w:rPr>
        <w:t>ę</w:t>
      </w:r>
      <w:r w:rsidRPr="00746D46">
        <w:rPr>
          <w:bCs/>
          <w:sz w:val="24"/>
          <w:szCs w:val="24"/>
        </w:rPr>
        <w:t xml:space="preserve"> dostępu dzieci do istotnych informacji i </w:t>
      </w:r>
      <w:r>
        <w:rPr>
          <w:bCs/>
          <w:sz w:val="24"/>
          <w:szCs w:val="24"/>
        </w:rPr>
        <w:t>pełniejsze</w:t>
      </w:r>
      <w:r w:rsidRPr="00746D46">
        <w:rPr>
          <w:bCs/>
          <w:sz w:val="24"/>
          <w:szCs w:val="24"/>
        </w:rPr>
        <w:t xml:space="preserve"> korzystani</w:t>
      </w:r>
      <w:r>
        <w:rPr>
          <w:bCs/>
          <w:sz w:val="24"/>
          <w:szCs w:val="24"/>
        </w:rPr>
        <w:t>e przez nie</w:t>
      </w:r>
      <w:r w:rsidRPr="00746D46">
        <w:rPr>
          <w:bCs/>
          <w:sz w:val="24"/>
          <w:szCs w:val="24"/>
        </w:rPr>
        <w:t xml:space="preserve"> z prawa do bycia wysłuchanym. Punkt (a)</w:t>
      </w:r>
      <w:r>
        <w:rPr>
          <w:bCs/>
          <w:sz w:val="24"/>
          <w:szCs w:val="24"/>
        </w:rPr>
        <w:t xml:space="preserve"> wzywa państwa członkowskie, aby</w:t>
      </w:r>
      <w:r w:rsidRPr="00746D46">
        <w:rPr>
          <w:bCs/>
          <w:sz w:val="24"/>
          <w:szCs w:val="24"/>
        </w:rPr>
        <w:t xml:space="preserve"> zachęca</w:t>
      </w:r>
      <w:r>
        <w:rPr>
          <w:bCs/>
          <w:sz w:val="24"/>
          <w:szCs w:val="24"/>
        </w:rPr>
        <w:t>ły przedsiębiorstwa</w:t>
      </w:r>
      <w:r w:rsidRPr="00746D46">
        <w:rPr>
          <w:bCs/>
          <w:sz w:val="24"/>
          <w:szCs w:val="24"/>
        </w:rPr>
        <w:t xml:space="preserve"> lub, w razie potrzeby, wymaga</w:t>
      </w:r>
      <w:r>
        <w:rPr>
          <w:bCs/>
          <w:sz w:val="24"/>
          <w:szCs w:val="24"/>
        </w:rPr>
        <w:t>ły od nich</w:t>
      </w:r>
      <w:r w:rsidRPr="00746D46">
        <w:rPr>
          <w:bCs/>
          <w:sz w:val="24"/>
          <w:szCs w:val="24"/>
        </w:rPr>
        <w:t xml:space="preserve"> wyraźne</w:t>
      </w:r>
      <w:r>
        <w:rPr>
          <w:bCs/>
          <w:sz w:val="24"/>
          <w:szCs w:val="24"/>
        </w:rPr>
        <w:t>go</w:t>
      </w:r>
      <w:r w:rsidRPr="00746D46">
        <w:rPr>
          <w:bCs/>
          <w:sz w:val="24"/>
          <w:szCs w:val="24"/>
        </w:rPr>
        <w:t xml:space="preserve"> uwzględni</w:t>
      </w:r>
      <w:r>
        <w:rPr>
          <w:bCs/>
          <w:sz w:val="24"/>
          <w:szCs w:val="24"/>
        </w:rPr>
        <w:t>enia</w:t>
      </w:r>
      <w:r w:rsidRPr="00746D46">
        <w:rPr>
          <w:bCs/>
          <w:sz w:val="24"/>
          <w:szCs w:val="24"/>
        </w:rPr>
        <w:t xml:space="preserve"> praw dziecka przy wykonywaniu procesu należytej staranności w zakresie praw człowieka. Powyższy punkt powinien być odczytywany w powiązaniu z </w:t>
      </w:r>
      <w:r w:rsidRPr="00746D46">
        <w:rPr>
          <w:bCs/>
          <w:sz w:val="24"/>
          <w:szCs w:val="24"/>
          <w:u w:val="single"/>
        </w:rPr>
        <w:t xml:space="preserve">paragrafami 20-23 Rekomendacji </w:t>
      </w:r>
      <w:r w:rsidRPr="00746D46">
        <w:rPr>
          <w:bCs/>
          <w:sz w:val="24"/>
          <w:szCs w:val="24"/>
        </w:rPr>
        <w:t xml:space="preserve">dotyczącymi ogólnie należytej staranności. Punkt (b) opiera się na Wytycznych Rady Europy w sprawie wymiaru sprawiedliwości przyjaznego dzieciom (przyjętych przez Komitet Ministrów w dniu 17 listopada 2010 r.), </w:t>
      </w:r>
      <w:r>
        <w:rPr>
          <w:bCs/>
          <w:sz w:val="24"/>
          <w:szCs w:val="24"/>
        </w:rPr>
        <w:t>zachęcając</w:t>
      </w:r>
      <w:r w:rsidRPr="00746D46">
        <w:rPr>
          <w:bCs/>
          <w:sz w:val="24"/>
          <w:szCs w:val="24"/>
        </w:rPr>
        <w:t xml:space="preserve"> państwa członkowskie do wdrożenia środków mających na celu usunięcie społecznych, gospodarczych i prawnych barier</w:t>
      </w:r>
      <w:r>
        <w:rPr>
          <w:bCs/>
          <w:sz w:val="24"/>
          <w:szCs w:val="24"/>
        </w:rPr>
        <w:t xml:space="preserve"> w</w:t>
      </w:r>
      <w:r w:rsidRPr="00746D46">
        <w:rPr>
          <w:bCs/>
          <w:sz w:val="24"/>
          <w:szCs w:val="24"/>
        </w:rPr>
        <w:t xml:space="preserve"> dostęp</w:t>
      </w:r>
      <w:r>
        <w:rPr>
          <w:bCs/>
          <w:sz w:val="24"/>
          <w:szCs w:val="24"/>
        </w:rPr>
        <w:t>ie</w:t>
      </w:r>
      <w:r w:rsidRPr="00746D46">
        <w:rPr>
          <w:bCs/>
          <w:sz w:val="24"/>
          <w:szCs w:val="24"/>
        </w:rPr>
        <w:t xml:space="preserve"> dzieci do</w:t>
      </w:r>
      <w:r>
        <w:rPr>
          <w:bCs/>
          <w:sz w:val="24"/>
          <w:szCs w:val="24"/>
        </w:rPr>
        <w:t xml:space="preserve"> </w:t>
      </w:r>
      <w:r w:rsidRPr="00746D46">
        <w:rPr>
          <w:bCs/>
          <w:sz w:val="24"/>
          <w:szCs w:val="24"/>
        </w:rPr>
        <w:t>mechanizmów sądowych i państwowych</w:t>
      </w:r>
      <w:r>
        <w:rPr>
          <w:bCs/>
          <w:sz w:val="24"/>
          <w:szCs w:val="24"/>
        </w:rPr>
        <w:t xml:space="preserve"> </w:t>
      </w:r>
      <w:r w:rsidRPr="00746D46">
        <w:rPr>
          <w:bCs/>
          <w:sz w:val="24"/>
          <w:szCs w:val="24"/>
        </w:rPr>
        <w:t xml:space="preserve">mechanizmów pozasądowych. Wytyczne zawierają kompleksowy przegląd środków, które mogą zostać podjęte w tym zakresie. W szczególności paragraf 34 Wytycznych („Dostęp do sądu i postępowań sądowych”) stanowi, że: </w:t>
      </w:r>
      <w:r>
        <w:rPr>
          <w:bCs/>
          <w:sz w:val="24"/>
          <w:szCs w:val="24"/>
        </w:rPr>
        <w:t>„D</w:t>
      </w:r>
      <w:r w:rsidRPr="00746D46">
        <w:rPr>
          <w:bCs/>
          <w:sz w:val="24"/>
          <w:szCs w:val="24"/>
        </w:rPr>
        <w:t>zieci, jako osoby posiadające prawa</w:t>
      </w:r>
      <w:r>
        <w:rPr>
          <w:bCs/>
          <w:sz w:val="24"/>
          <w:szCs w:val="24"/>
        </w:rPr>
        <w:t>,</w:t>
      </w:r>
      <w:r w:rsidRPr="00746D46">
        <w:rPr>
          <w:bCs/>
          <w:sz w:val="24"/>
          <w:szCs w:val="24"/>
        </w:rPr>
        <w:t xml:space="preserve"> powinny mieć możliwość stosowania środków odwoławczych pozwalających skutecznie wykonywać ich prawa lub reagować w przypadku naruszenia ich praw. W stosownych przypadkach prawo krajowe powinno </w:t>
      </w:r>
      <w:r w:rsidRPr="00746D46">
        <w:rPr>
          <w:bCs/>
          <w:sz w:val="24"/>
          <w:szCs w:val="24"/>
        </w:rPr>
        <w:lastRenderedPageBreak/>
        <w:t>ułatwiać dostęp do sądu dzieciom, które dysponują wystarczającym poziomem zrozumienia swoich praw, a także umożliwiać korzystanie ze środków odwoławczych w celu ochrony tych praw na podstawie odpowiednio udzielonej porady prawnej." Natomiast punkt (c) zachęca państwa członkowskie do wyraźnego uwzględnienia praw dzieci w swoich Krajowych Planach Działania, przy czym niektóre państwa członkowskie już to zrobiły</w:t>
      </w:r>
      <w:r>
        <w:rPr>
          <w:bCs/>
          <w:sz w:val="24"/>
          <w:szCs w:val="24"/>
        </w:rPr>
        <w:t xml:space="preserve"> m.in. poprzez</w:t>
      </w:r>
      <w:r w:rsidRPr="00746D46">
        <w:rPr>
          <w:bCs/>
          <w:sz w:val="24"/>
          <w:szCs w:val="24"/>
        </w:rPr>
        <w:t xml:space="preserve"> tłumaczenie i rozpowszechnianie komentarza ogólnego nr 16.</w:t>
      </w:r>
      <w:r w:rsidRPr="00746D46">
        <w:rPr>
          <w:sz w:val="24"/>
          <w:szCs w:val="24"/>
        </w:rPr>
        <w:t xml:space="preserve"> </w:t>
      </w:r>
    </w:p>
    <w:p w:rsidR="00591EC1" w:rsidRPr="00746D46" w:rsidRDefault="00591EC1" w:rsidP="00E7396B">
      <w:pPr>
        <w:pStyle w:val="Akapitzlist"/>
        <w:spacing w:line="240" w:lineRule="auto"/>
        <w:ind w:left="1069"/>
        <w:jc w:val="both"/>
        <w:rPr>
          <w:bCs/>
          <w:sz w:val="24"/>
          <w:szCs w:val="24"/>
        </w:rPr>
      </w:pPr>
    </w:p>
    <w:p w:rsidR="00591EC1" w:rsidRDefault="00591EC1" w:rsidP="00E7396B">
      <w:pPr>
        <w:pStyle w:val="Akapitzlist"/>
        <w:numPr>
          <w:ilvl w:val="0"/>
          <w:numId w:val="31"/>
        </w:numPr>
        <w:spacing w:before="120" w:after="120" w:line="240" w:lineRule="auto"/>
        <w:contextualSpacing w:val="0"/>
        <w:jc w:val="both"/>
        <w:rPr>
          <w:b/>
          <w:bCs/>
          <w:sz w:val="24"/>
          <w:szCs w:val="24"/>
        </w:rPr>
      </w:pPr>
      <w:r w:rsidRPr="00746D46">
        <w:rPr>
          <w:b/>
          <w:bCs/>
          <w:sz w:val="24"/>
          <w:szCs w:val="24"/>
        </w:rPr>
        <w:t>Dodatkowa ochrona rdzennej ludności</w:t>
      </w:r>
    </w:p>
    <w:p w:rsidR="00277B72" w:rsidRPr="00746D46" w:rsidRDefault="00277B72" w:rsidP="00277B72">
      <w:pPr>
        <w:pStyle w:val="Akapitzlist"/>
        <w:spacing w:before="120" w:after="120" w:line="240" w:lineRule="auto"/>
        <w:ind w:left="567"/>
        <w:contextualSpacing w:val="0"/>
        <w:jc w:val="both"/>
        <w:rPr>
          <w:b/>
          <w:bCs/>
          <w:sz w:val="24"/>
          <w:szCs w:val="24"/>
        </w:rPr>
      </w:pPr>
    </w:p>
    <w:p w:rsidR="00591EC1" w:rsidRPr="00746D46" w:rsidRDefault="00591EC1" w:rsidP="00E7396B">
      <w:pPr>
        <w:pStyle w:val="Akapitzlist"/>
        <w:numPr>
          <w:ilvl w:val="0"/>
          <w:numId w:val="19"/>
        </w:numPr>
        <w:spacing w:before="120" w:after="120" w:line="240" w:lineRule="auto"/>
        <w:ind w:left="567"/>
        <w:contextualSpacing w:val="0"/>
        <w:jc w:val="both"/>
        <w:rPr>
          <w:bCs/>
          <w:sz w:val="24"/>
          <w:szCs w:val="24"/>
        </w:rPr>
      </w:pPr>
      <w:r w:rsidRPr="00746D46">
        <w:rPr>
          <w:bCs/>
          <w:sz w:val="24"/>
          <w:szCs w:val="24"/>
        </w:rPr>
        <w:t xml:space="preserve">Rozdział VII Rekomendacji dotyczy ochrony ludności rdzennej. Kwestia ta wzbudziła szczególne zainteresowanie Grupy Roboczej ONZ ds. </w:t>
      </w:r>
      <w:r>
        <w:rPr>
          <w:bCs/>
          <w:sz w:val="24"/>
          <w:szCs w:val="24"/>
        </w:rPr>
        <w:t>B</w:t>
      </w:r>
      <w:r w:rsidRPr="00746D46">
        <w:rPr>
          <w:bCs/>
          <w:sz w:val="24"/>
          <w:szCs w:val="24"/>
        </w:rPr>
        <w:t xml:space="preserve">iznesu i </w:t>
      </w:r>
      <w:r>
        <w:rPr>
          <w:bCs/>
          <w:sz w:val="24"/>
          <w:szCs w:val="24"/>
        </w:rPr>
        <w:t>P</w:t>
      </w:r>
      <w:r w:rsidRPr="00746D46">
        <w:rPr>
          <w:bCs/>
          <w:sz w:val="24"/>
          <w:szCs w:val="24"/>
        </w:rPr>
        <w:t>raw Człowieka przy wdrażaniu Wytycznych ONZ,</w:t>
      </w:r>
      <w:r w:rsidRPr="00746D46">
        <w:rPr>
          <w:rStyle w:val="Odwoanieprzypisukocowego"/>
          <w:bCs/>
          <w:sz w:val="24"/>
          <w:szCs w:val="24"/>
        </w:rPr>
        <w:endnoteReference w:id="46"/>
      </w:r>
      <w:r w:rsidRPr="00746D46">
        <w:rPr>
          <w:bCs/>
          <w:sz w:val="24"/>
          <w:szCs w:val="24"/>
        </w:rPr>
        <w:t xml:space="preserve"> jako że ludność rdzenna jest obciążona zwiększonym ryzykiem marginalizacji społecznej i ekonomicznej </w:t>
      </w:r>
      <w:r>
        <w:rPr>
          <w:bCs/>
          <w:sz w:val="24"/>
          <w:szCs w:val="24"/>
        </w:rPr>
        <w:t>i</w:t>
      </w:r>
      <w:r w:rsidRPr="00746D46">
        <w:rPr>
          <w:bCs/>
          <w:sz w:val="24"/>
          <w:szCs w:val="24"/>
        </w:rPr>
        <w:t xml:space="preserve"> często </w:t>
      </w:r>
      <w:r>
        <w:rPr>
          <w:bCs/>
          <w:sz w:val="24"/>
          <w:szCs w:val="24"/>
        </w:rPr>
        <w:t>pomija się ją w</w:t>
      </w:r>
      <w:r w:rsidRPr="00746D46">
        <w:rPr>
          <w:bCs/>
          <w:sz w:val="24"/>
          <w:szCs w:val="24"/>
        </w:rPr>
        <w:t xml:space="preserve"> konsultacj</w:t>
      </w:r>
      <w:r>
        <w:rPr>
          <w:bCs/>
          <w:sz w:val="24"/>
          <w:szCs w:val="24"/>
        </w:rPr>
        <w:t>ach</w:t>
      </w:r>
      <w:r w:rsidRPr="00746D46">
        <w:rPr>
          <w:bCs/>
          <w:sz w:val="24"/>
          <w:szCs w:val="24"/>
        </w:rPr>
        <w:t xml:space="preserve"> dotyczących działa</w:t>
      </w:r>
      <w:r>
        <w:rPr>
          <w:bCs/>
          <w:sz w:val="24"/>
          <w:szCs w:val="24"/>
        </w:rPr>
        <w:t>ń</w:t>
      </w:r>
      <w:r w:rsidRPr="00746D46">
        <w:rPr>
          <w:bCs/>
          <w:sz w:val="24"/>
          <w:szCs w:val="24"/>
        </w:rPr>
        <w:t xml:space="preserve"> biznesu, któr</w:t>
      </w:r>
      <w:r>
        <w:rPr>
          <w:bCs/>
          <w:sz w:val="24"/>
          <w:szCs w:val="24"/>
        </w:rPr>
        <w:t>e</w:t>
      </w:r>
      <w:r w:rsidRPr="00746D46">
        <w:rPr>
          <w:bCs/>
          <w:sz w:val="24"/>
          <w:szCs w:val="24"/>
        </w:rPr>
        <w:t xml:space="preserve"> </w:t>
      </w:r>
      <w:r>
        <w:rPr>
          <w:bCs/>
          <w:sz w:val="24"/>
          <w:szCs w:val="24"/>
        </w:rPr>
        <w:t>wywierają</w:t>
      </w:r>
      <w:r w:rsidRPr="00746D46">
        <w:rPr>
          <w:bCs/>
          <w:sz w:val="24"/>
          <w:szCs w:val="24"/>
        </w:rPr>
        <w:t xml:space="preserve"> wpływ na </w:t>
      </w:r>
      <w:r>
        <w:rPr>
          <w:bCs/>
          <w:sz w:val="24"/>
          <w:szCs w:val="24"/>
        </w:rPr>
        <w:t>jej</w:t>
      </w:r>
      <w:r w:rsidRPr="00746D46">
        <w:rPr>
          <w:bCs/>
          <w:sz w:val="24"/>
          <w:szCs w:val="24"/>
        </w:rPr>
        <w:t xml:space="preserve"> życie. </w:t>
      </w:r>
      <w:r w:rsidRPr="00746D46">
        <w:rPr>
          <w:bCs/>
          <w:sz w:val="24"/>
          <w:szCs w:val="24"/>
          <w:u w:val="single"/>
        </w:rPr>
        <w:t>Paragraf 65 Rekomendacji</w:t>
      </w:r>
      <w:r w:rsidRPr="00746D46">
        <w:rPr>
          <w:bCs/>
          <w:sz w:val="24"/>
          <w:szCs w:val="24"/>
        </w:rPr>
        <w:t xml:space="preserve"> zachęca państwa członkowskie, aby wymagały od przedsiębiorstw poszanowania praw rdzennej ludności</w:t>
      </w:r>
      <w:r>
        <w:rPr>
          <w:bCs/>
          <w:sz w:val="24"/>
          <w:szCs w:val="24"/>
        </w:rPr>
        <w:t>.</w:t>
      </w:r>
      <w:r w:rsidRPr="00746D46">
        <w:rPr>
          <w:bCs/>
          <w:sz w:val="24"/>
          <w:szCs w:val="24"/>
        </w:rPr>
        <w:t xml:space="preserve"> </w:t>
      </w:r>
      <w:r>
        <w:rPr>
          <w:bCs/>
          <w:sz w:val="24"/>
          <w:szCs w:val="24"/>
        </w:rPr>
        <w:t>P</w:t>
      </w:r>
      <w:r w:rsidRPr="00746D46">
        <w:rPr>
          <w:bCs/>
          <w:sz w:val="24"/>
          <w:szCs w:val="24"/>
        </w:rPr>
        <w:t>aństwa członkowskie powinny</w:t>
      </w:r>
      <w:r>
        <w:rPr>
          <w:bCs/>
          <w:sz w:val="24"/>
          <w:szCs w:val="24"/>
        </w:rPr>
        <w:t xml:space="preserve"> ponadto</w:t>
      </w:r>
      <w:r w:rsidRPr="00746D46">
        <w:rPr>
          <w:bCs/>
          <w:sz w:val="24"/>
          <w:szCs w:val="24"/>
        </w:rPr>
        <w:t xml:space="preserve"> uwzględniać szczególny stosunek rdzennej ludności do </w:t>
      </w:r>
      <w:r>
        <w:rPr>
          <w:bCs/>
          <w:sz w:val="24"/>
          <w:szCs w:val="24"/>
        </w:rPr>
        <w:t>swych</w:t>
      </w:r>
      <w:r w:rsidRPr="00746D46">
        <w:rPr>
          <w:bCs/>
          <w:sz w:val="24"/>
          <w:szCs w:val="24"/>
        </w:rPr>
        <w:t xml:space="preserve"> ziem</w:t>
      </w:r>
      <w:r>
        <w:rPr>
          <w:bCs/>
          <w:sz w:val="24"/>
          <w:szCs w:val="24"/>
        </w:rPr>
        <w:t>.</w:t>
      </w:r>
      <w:r w:rsidRPr="00746D46">
        <w:rPr>
          <w:bCs/>
          <w:sz w:val="24"/>
          <w:szCs w:val="24"/>
        </w:rPr>
        <w:t xml:space="preserve"> </w:t>
      </w:r>
      <w:r>
        <w:rPr>
          <w:bCs/>
          <w:sz w:val="24"/>
          <w:szCs w:val="24"/>
        </w:rPr>
        <w:t>W</w:t>
      </w:r>
      <w:r w:rsidRPr="00746D46">
        <w:rPr>
          <w:bCs/>
          <w:sz w:val="24"/>
          <w:szCs w:val="24"/>
        </w:rPr>
        <w:t xml:space="preserve"> tym zakresie </w:t>
      </w:r>
      <w:r w:rsidRPr="00746D46">
        <w:rPr>
          <w:bCs/>
          <w:sz w:val="24"/>
          <w:szCs w:val="24"/>
          <w:u w:val="single"/>
        </w:rPr>
        <w:t>paragraf 66 Rekomendacji</w:t>
      </w:r>
      <w:r w:rsidRPr="00746D46">
        <w:rPr>
          <w:bCs/>
          <w:sz w:val="24"/>
          <w:szCs w:val="24"/>
        </w:rPr>
        <w:t xml:space="preserve"> wymienia niektóre międzynarodowe instrumenty, które rozwijają standardy i prawa dotyczące ludności rdzennej.</w:t>
      </w:r>
      <w:r w:rsidRPr="00746D46">
        <w:rPr>
          <w:rStyle w:val="Odwoanieprzypisukocowego"/>
          <w:bCs/>
          <w:sz w:val="24"/>
          <w:szCs w:val="24"/>
        </w:rPr>
        <w:endnoteReference w:id="47"/>
      </w:r>
      <w:r w:rsidRPr="00746D46">
        <w:rPr>
          <w:bCs/>
          <w:sz w:val="24"/>
          <w:szCs w:val="24"/>
        </w:rPr>
        <w:t xml:space="preserve"> Kwestia wpływu biznesu na prawa rdzennej ludności została również poruszona przez szereg mechanizmów ONZ, w tym przez Specjalnego Sprawozdawcę ds. praw ludności rdzennej,</w:t>
      </w:r>
      <w:r w:rsidRPr="00746D46">
        <w:rPr>
          <w:rStyle w:val="Odwoanieprzypisukocowego"/>
          <w:bCs/>
          <w:sz w:val="24"/>
          <w:szCs w:val="24"/>
        </w:rPr>
        <w:endnoteReference w:id="48"/>
      </w:r>
      <w:r w:rsidRPr="00746D46">
        <w:rPr>
          <w:bCs/>
          <w:sz w:val="24"/>
          <w:szCs w:val="24"/>
        </w:rPr>
        <w:t xml:space="preserve"> jak również </w:t>
      </w:r>
      <w:r>
        <w:rPr>
          <w:bCs/>
          <w:sz w:val="24"/>
          <w:szCs w:val="24"/>
        </w:rPr>
        <w:t>w</w:t>
      </w:r>
      <w:r w:rsidRPr="00746D46">
        <w:rPr>
          <w:bCs/>
          <w:sz w:val="24"/>
          <w:szCs w:val="24"/>
        </w:rPr>
        <w:t xml:space="preserve"> komentarz</w:t>
      </w:r>
      <w:r>
        <w:rPr>
          <w:bCs/>
          <w:sz w:val="24"/>
          <w:szCs w:val="24"/>
        </w:rPr>
        <w:t>ach</w:t>
      </w:r>
      <w:r w:rsidRPr="00746D46">
        <w:rPr>
          <w:sz w:val="24"/>
          <w:szCs w:val="24"/>
        </w:rPr>
        <w:t xml:space="preserve"> </w:t>
      </w:r>
      <w:r w:rsidRPr="00746D46">
        <w:rPr>
          <w:bCs/>
          <w:sz w:val="24"/>
          <w:szCs w:val="24"/>
        </w:rPr>
        <w:t>ogóln</w:t>
      </w:r>
      <w:r>
        <w:rPr>
          <w:bCs/>
          <w:sz w:val="24"/>
          <w:szCs w:val="24"/>
        </w:rPr>
        <w:t>ych</w:t>
      </w:r>
      <w:r w:rsidRPr="00746D46">
        <w:rPr>
          <w:bCs/>
          <w:sz w:val="24"/>
          <w:szCs w:val="24"/>
        </w:rPr>
        <w:t xml:space="preserve"> organów traktatowych</w:t>
      </w:r>
      <w:r w:rsidRPr="00746D46">
        <w:rPr>
          <w:rStyle w:val="Odwoanieprzypisukocowego"/>
          <w:bCs/>
          <w:sz w:val="24"/>
          <w:szCs w:val="24"/>
        </w:rPr>
        <w:endnoteReference w:id="49"/>
      </w:r>
      <w:r>
        <w:rPr>
          <w:bCs/>
          <w:sz w:val="24"/>
          <w:szCs w:val="24"/>
        </w:rPr>
        <w:t xml:space="preserve"> </w:t>
      </w:r>
      <w:r w:rsidRPr="00746D46">
        <w:rPr>
          <w:bCs/>
          <w:sz w:val="24"/>
          <w:szCs w:val="24"/>
        </w:rPr>
        <w:t>oraz</w:t>
      </w:r>
      <w:r>
        <w:rPr>
          <w:bCs/>
          <w:sz w:val="24"/>
          <w:szCs w:val="24"/>
        </w:rPr>
        <w:t xml:space="preserve"> przez</w:t>
      </w:r>
      <w:r w:rsidRPr="00746D46">
        <w:rPr>
          <w:bCs/>
          <w:sz w:val="24"/>
          <w:szCs w:val="24"/>
        </w:rPr>
        <w:t xml:space="preserve"> Zespół Ekspertów ds. </w:t>
      </w:r>
      <w:r>
        <w:rPr>
          <w:bCs/>
          <w:sz w:val="24"/>
          <w:szCs w:val="24"/>
        </w:rPr>
        <w:t>L</w:t>
      </w:r>
      <w:r w:rsidRPr="00746D46">
        <w:rPr>
          <w:bCs/>
          <w:sz w:val="24"/>
          <w:szCs w:val="24"/>
        </w:rPr>
        <w:t xml:space="preserve">udności </w:t>
      </w:r>
      <w:r>
        <w:rPr>
          <w:bCs/>
          <w:sz w:val="24"/>
          <w:szCs w:val="24"/>
        </w:rPr>
        <w:t>R</w:t>
      </w:r>
      <w:r w:rsidRPr="00746D46">
        <w:rPr>
          <w:bCs/>
          <w:sz w:val="24"/>
          <w:szCs w:val="24"/>
        </w:rPr>
        <w:t>dzennej.</w:t>
      </w:r>
      <w:r w:rsidRPr="00746D46">
        <w:rPr>
          <w:rStyle w:val="Odwoanieprzypisukocowego"/>
          <w:bCs/>
          <w:sz w:val="24"/>
          <w:szCs w:val="24"/>
        </w:rPr>
        <w:endnoteReference w:id="50"/>
      </w:r>
      <w:r w:rsidRPr="00746D46">
        <w:rPr>
          <w:bCs/>
          <w:sz w:val="24"/>
          <w:szCs w:val="24"/>
        </w:rPr>
        <w:t xml:space="preserve"> </w:t>
      </w:r>
      <w:r w:rsidRPr="00746D46">
        <w:rPr>
          <w:bCs/>
          <w:sz w:val="24"/>
          <w:szCs w:val="24"/>
          <w:u w:val="single"/>
        </w:rPr>
        <w:t>Paragraf 67</w:t>
      </w:r>
      <w:r w:rsidRPr="00746D46">
        <w:rPr>
          <w:bCs/>
          <w:sz w:val="24"/>
          <w:szCs w:val="24"/>
        </w:rPr>
        <w:t xml:space="preserve"> dotyczy obowiązku biznesu do poszanowania praw i interesów ludności rdzennej, a także</w:t>
      </w:r>
      <w:r>
        <w:rPr>
          <w:bCs/>
          <w:sz w:val="24"/>
          <w:szCs w:val="24"/>
        </w:rPr>
        <w:t xml:space="preserve"> do</w:t>
      </w:r>
      <w:r w:rsidRPr="00746D46">
        <w:rPr>
          <w:bCs/>
          <w:sz w:val="24"/>
          <w:szCs w:val="24"/>
        </w:rPr>
        <w:t xml:space="preserve"> konsultowania i współpracowania w dobrej wierze w celu uzyskania </w:t>
      </w:r>
      <w:r>
        <w:rPr>
          <w:bCs/>
          <w:sz w:val="24"/>
          <w:szCs w:val="24"/>
        </w:rPr>
        <w:t>jej</w:t>
      </w:r>
      <w:r w:rsidRPr="00746D46">
        <w:rPr>
          <w:bCs/>
          <w:sz w:val="24"/>
          <w:szCs w:val="24"/>
        </w:rPr>
        <w:t xml:space="preserve"> </w:t>
      </w:r>
      <w:r>
        <w:rPr>
          <w:bCs/>
          <w:sz w:val="24"/>
          <w:szCs w:val="24"/>
        </w:rPr>
        <w:t>dobrowolnej</w:t>
      </w:r>
      <w:r w:rsidRPr="00746D46">
        <w:rPr>
          <w:bCs/>
          <w:sz w:val="24"/>
          <w:szCs w:val="24"/>
        </w:rPr>
        <w:t xml:space="preserve"> i świadomej zgody przed zatwierdzeniem poszczególnych projektów. Wymóg ten został również </w:t>
      </w:r>
      <w:r>
        <w:rPr>
          <w:bCs/>
          <w:sz w:val="24"/>
          <w:szCs w:val="24"/>
        </w:rPr>
        <w:t>zawarty</w:t>
      </w:r>
      <w:r w:rsidRPr="00746D46">
        <w:rPr>
          <w:bCs/>
          <w:sz w:val="24"/>
          <w:szCs w:val="24"/>
        </w:rPr>
        <w:t xml:space="preserve"> w paragrafie 20 dokumentu podsumowującego Światową Konferencję w sprawie </w:t>
      </w:r>
      <w:r>
        <w:rPr>
          <w:bCs/>
          <w:sz w:val="24"/>
          <w:szCs w:val="24"/>
        </w:rPr>
        <w:t>L</w:t>
      </w:r>
      <w:r w:rsidRPr="00746D46">
        <w:rPr>
          <w:bCs/>
          <w:sz w:val="24"/>
          <w:szCs w:val="24"/>
        </w:rPr>
        <w:t xml:space="preserve">udności </w:t>
      </w:r>
      <w:r>
        <w:rPr>
          <w:bCs/>
          <w:sz w:val="24"/>
          <w:szCs w:val="24"/>
        </w:rPr>
        <w:t>R</w:t>
      </w:r>
      <w:r w:rsidRPr="00746D46">
        <w:rPr>
          <w:bCs/>
          <w:sz w:val="24"/>
          <w:szCs w:val="24"/>
        </w:rPr>
        <w:t>dzennej, przyjętego przez Zgromadzenie Ogólne w 2014 r. Jednakże należy przyjąć, że wymóg taki nie uniemożliwia państwu członkowskiemu, z zastrzeżeniem przepisów prawa krajowego,</w:t>
      </w:r>
      <w:r>
        <w:rPr>
          <w:bCs/>
          <w:sz w:val="24"/>
          <w:szCs w:val="24"/>
        </w:rPr>
        <w:t xml:space="preserve"> </w:t>
      </w:r>
      <w:r w:rsidRPr="00746D46">
        <w:rPr>
          <w:bCs/>
          <w:sz w:val="24"/>
          <w:szCs w:val="24"/>
        </w:rPr>
        <w:t>wydania zgody na zaproponowany projekt.</w:t>
      </w:r>
    </w:p>
    <w:p w:rsidR="00591EC1" w:rsidRPr="00746D46" w:rsidRDefault="00591EC1" w:rsidP="00E7396B">
      <w:pPr>
        <w:pStyle w:val="Akapitzlist"/>
        <w:spacing w:line="240" w:lineRule="auto"/>
        <w:ind w:left="1069"/>
        <w:jc w:val="both"/>
        <w:rPr>
          <w:bCs/>
          <w:sz w:val="24"/>
          <w:szCs w:val="24"/>
        </w:rPr>
      </w:pPr>
    </w:p>
    <w:p w:rsidR="00591EC1" w:rsidRPr="00746D46" w:rsidRDefault="00591EC1" w:rsidP="00E7396B">
      <w:pPr>
        <w:spacing w:before="120" w:after="120" w:line="240" w:lineRule="auto"/>
        <w:ind w:left="567"/>
        <w:jc w:val="both"/>
        <w:rPr>
          <w:bCs/>
          <w:i/>
          <w:sz w:val="24"/>
          <w:szCs w:val="24"/>
        </w:rPr>
      </w:pPr>
      <w:r w:rsidRPr="00746D46">
        <w:rPr>
          <w:bCs/>
          <w:i/>
          <w:sz w:val="24"/>
          <w:szCs w:val="24"/>
        </w:rPr>
        <w:t>Krajowe Plany Działania</w:t>
      </w:r>
    </w:p>
    <w:p w:rsidR="00591EC1" w:rsidRPr="00746D46" w:rsidRDefault="00591EC1" w:rsidP="00E7396B">
      <w:pPr>
        <w:pStyle w:val="Akapitzlist"/>
        <w:numPr>
          <w:ilvl w:val="0"/>
          <w:numId w:val="19"/>
        </w:numPr>
        <w:spacing w:before="120" w:after="120" w:line="240" w:lineRule="auto"/>
        <w:ind w:left="567"/>
        <w:contextualSpacing w:val="0"/>
        <w:jc w:val="both"/>
        <w:rPr>
          <w:bCs/>
          <w:sz w:val="24"/>
          <w:szCs w:val="24"/>
        </w:rPr>
      </w:pPr>
      <w:r w:rsidRPr="00746D46">
        <w:rPr>
          <w:bCs/>
          <w:sz w:val="24"/>
          <w:szCs w:val="24"/>
          <w:u w:val="single"/>
        </w:rPr>
        <w:t>Paragraf 68 Rekomendacji</w:t>
      </w:r>
      <w:r w:rsidRPr="00746D46">
        <w:rPr>
          <w:bCs/>
          <w:sz w:val="24"/>
          <w:szCs w:val="24"/>
        </w:rPr>
        <w:t xml:space="preserve"> stanowi, że w swoich Krajowych Planach Działania państwa członkowskie powinny zwrócić szczególną uwagę na prawa ludności rdzennej. W tym celu niektóre państwa członkowskie zawarły w swoich planach szczególne przepisy dotyczące rdzennej ludności. Na przykład fiński Krajowy Plan Działań stanowi, że </w:t>
      </w:r>
      <w:r>
        <w:rPr>
          <w:bCs/>
          <w:sz w:val="24"/>
          <w:szCs w:val="24"/>
        </w:rPr>
        <w:t>planowane jest</w:t>
      </w:r>
      <w:r w:rsidRPr="00746D46">
        <w:rPr>
          <w:bCs/>
          <w:sz w:val="24"/>
          <w:szCs w:val="24"/>
        </w:rPr>
        <w:t xml:space="preserve"> „kontynuowa</w:t>
      </w:r>
      <w:r>
        <w:rPr>
          <w:bCs/>
          <w:sz w:val="24"/>
          <w:szCs w:val="24"/>
        </w:rPr>
        <w:t>nie</w:t>
      </w:r>
      <w:r w:rsidRPr="00746D46">
        <w:rPr>
          <w:bCs/>
          <w:sz w:val="24"/>
          <w:szCs w:val="24"/>
        </w:rPr>
        <w:t xml:space="preserve"> dialog</w:t>
      </w:r>
      <w:r>
        <w:rPr>
          <w:bCs/>
          <w:sz w:val="24"/>
          <w:szCs w:val="24"/>
        </w:rPr>
        <w:t>u</w:t>
      </w:r>
      <w:r w:rsidRPr="00746D46">
        <w:rPr>
          <w:bCs/>
          <w:sz w:val="24"/>
          <w:szCs w:val="24"/>
        </w:rPr>
        <w:t xml:space="preserve"> z organami ONZ ds. rdzennej ludności </w:t>
      </w:r>
      <w:r>
        <w:rPr>
          <w:bCs/>
          <w:sz w:val="24"/>
          <w:szCs w:val="24"/>
        </w:rPr>
        <w:t>na temat</w:t>
      </w:r>
      <w:r w:rsidRPr="00746D46">
        <w:rPr>
          <w:bCs/>
          <w:sz w:val="24"/>
          <w:szCs w:val="24"/>
        </w:rPr>
        <w:t xml:space="preserve"> wp</w:t>
      </w:r>
      <w:r>
        <w:rPr>
          <w:bCs/>
          <w:sz w:val="24"/>
          <w:szCs w:val="24"/>
        </w:rPr>
        <w:t>ływu biznesu na prawa człowieka”</w:t>
      </w:r>
      <w:r w:rsidRPr="00746D46">
        <w:rPr>
          <w:bCs/>
          <w:sz w:val="24"/>
          <w:szCs w:val="24"/>
        </w:rPr>
        <w:t>.</w:t>
      </w:r>
    </w:p>
    <w:p w:rsidR="00591EC1" w:rsidRDefault="00591EC1" w:rsidP="00E7396B">
      <w:pPr>
        <w:pStyle w:val="Akapitzlist"/>
        <w:spacing w:line="240" w:lineRule="auto"/>
        <w:ind w:left="1069"/>
        <w:jc w:val="both"/>
        <w:rPr>
          <w:bCs/>
          <w:sz w:val="24"/>
          <w:szCs w:val="24"/>
        </w:rPr>
      </w:pPr>
    </w:p>
    <w:p w:rsidR="00A52948" w:rsidRDefault="00A52948" w:rsidP="00E7396B">
      <w:pPr>
        <w:pStyle w:val="Akapitzlist"/>
        <w:spacing w:line="240" w:lineRule="auto"/>
        <w:ind w:left="1069"/>
        <w:jc w:val="both"/>
        <w:rPr>
          <w:bCs/>
          <w:sz w:val="24"/>
          <w:szCs w:val="24"/>
        </w:rPr>
      </w:pPr>
    </w:p>
    <w:p w:rsidR="00A52948" w:rsidRDefault="00A52948" w:rsidP="00E7396B">
      <w:pPr>
        <w:pStyle w:val="Akapitzlist"/>
        <w:spacing w:line="240" w:lineRule="auto"/>
        <w:ind w:left="1069"/>
        <w:jc w:val="both"/>
        <w:rPr>
          <w:bCs/>
          <w:sz w:val="24"/>
          <w:szCs w:val="24"/>
        </w:rPr>
      </w:pPr>
    </w:p>
    <w:p w:rsidR="00A52948" w:rsidRDefault="00A52948" w:rsidP="00E7396B">
      <w:pPr>
        <w:pStyle w:val="Akapitzlist"/>
        <w:spacing w:line="240" w:lineRule="auto"/>
        <w:ind w:left="1069"/>
        <w:jc w:val="both"/>
        <w:rPr>
          <w:bCs/>
          <w:sz w:val="24"/>
          <w:szCs w:val="24"/>
        </w:rPr>
      </w:pPr>
    </w:p>
    <w:p w:rsidR="00A52948" w:rsidRDefault="00A52948" w:rsidP="00E7396B">
      <w:pPr>
        <w:pStyle w:val="Akapitzlist"/>
        <w:spacing w:line="240" w:lineRule="auto"/>
        <w:ind w:left="1069"/>
        <w:jc w:val="both"/>
        <w:rPr>
          <w:bCs/>
          <w:sz w:val="24"/>
          <w:szCs w:val="24"/>
        </w:rPr>
      </w:pPr>
    </w:p>
    <w:p w:rsidR="00591EC1" w:rsidRDefault="00591EC1" w:rsidP="00E7396B">
      <w:pPr>
        <w:pStyle w:val="Akapitzlist"/>
        <w:numPr>
          <w:ilvl w:val="0"/>
          <w:numId w:val="31"/>
        </w:numPr>
        <w:spacing w:before="120" w:after="120" w:line="240" w:lineRule="auto"/>
        <w:contextualSpacing w:val="0"/>
        <w:jc w:val="both"/>
        <w:rPr>
          <w:b/>
          <w:bCs/>
          <w:sz w:val="24"/>
          <w:szCs w:val="24"/>
        </w:rPr>
      </w:pPr>
      <w:r w:rsidRPr="00746D46">
        <w:rPr>
          <w:b/>
          <w:bCs/>
          <w:sz w:val="24"/>
          <w:szCs w:val="24"/>
        </w:rPr>
        <w:lastRenderedPageBreak/>
        <w:t>Ochrona obrońców praw człowieka</w:t>
      </w:r>
    </w:p>
    <w:p w:rsidR="00277B72" w:rsidRPr="00746D46" w:rsidRDefault="00277B72" w:rsidP="00277B72">
      <w:pPr>
        <w:pStyle w:val="Akapitzlist"/>
        <w:spacing w:before="120" w:after="120" w:line="240" w:lineRule="auto"/>
        <w:ind w:left="567"/>
        <w:contextualSpacing w:val="0"/>
        <w:jc w:val="both"/>
        <w:rPr>
          <w:b/>
          <w:bCs/>
          <w:sz w:val="24"/>
          <w:szCs w:val="24"/>
        </w:rPr>
      </w:pPr>
    </w:p>
    <w:p w:rsidR="00591EC1" w:rsidRPr="00746D46" w:rsidRDefault="00591EC1" w:rsidP="00E7396B">
      <w:pPr>
        <w:spacing w:before="120" w:after="120" w:line="240" w:lineRule="auto"/>
        <w:ind w:left="567"/>
        <w:jc w:val="both"/>
        <w:rPr>
          <w:bCs/>
          <w:i/>
          <w:sz w:val="24"/>
          <w:szCs w:val="24"/>
        </w:rPr>
      </w:pPr>
      <w:r w:rsidRPr="00746D46">
        <w:rPr>
          <w:bCs/>
          <w:i/>
          <w:sz w:val="24"/>
          <w:szCs w:val="24"/>
        </w:rPr>
        <w:t>Obrońcy praw człowieka w państwach członkowskich Rady Europy</w:t>
      </w:r>
    </w:p>
    <w:p w:rsidR="00591EC1" w:rsidRPr="00746D46" w:rsidRDefault="00591EC1" w:rsidP="00E7396B">
      <w:pPr>
        <w:pStyle w:val="Akapitzlist"/>
        <w:numPr>
          <w:ilvl w:val="0"/>
          <w:numId w:val="19"/>
        </w:numPr>
        <w:spacing w:before="120" w:after="120" w:line="240" w:lineRule="auto"/>
        <w:ind w:left="567"/>
        <w:contextualSpacing w:val="0"/>
        <w:jc w:val="both"/>
        <w:rPr>
          <w:bCs/>
          <w:sz w:val="24"/>
          <w:szCs w:val="24"/>
        </w:rPr>
      </w:pPr>
      <w:r w:rsidRPr="00746D46">
        <w:rPr>
          <w:bCs/>
          <w:sz w:val="24"/>
          <w:szCs w:val="24"/>
          <w:u w:val="single"/>
        </w:rPr>
        <w:t>Paragraf 69 Rekomendacji</w:t>
      </w:r>
      <w:r w:rsidRPr="00746D46">
        <w:rPr>
          <w:bCs/>
          <w:sz w:val="24"/>
          <w:szCs w:val="24"/>
        </w:rPr>
        <w:t xml:space="preserve"> dotyczy możliwych wyzwań stojących przed obrońcami praw człowieka, w szczególności w odniesieniu do wolności wyrażania opinii (art. 10 Konwencji o ochronie praw człowieka i podstawowych wolności) oraz wolności zgromadzeń i stowarzyszania się (art. 11 Konwencji o ochronie praw człowieka i podstawowych wolności), które mogą wystąpić w kontekście dotyczącym biznesu. Rada Europy dąży do ogólnej ochrony i poprawy sytuacji obrońców praw człowieka za pośrednictwem szerokiej gamy środków. W 2012 r. Zgromadzenie Parlamentarne p</w:t>
      </w:r>
      <w:r>
        <w:rPr>
          <w:bCs/>
          <w:sz w:val="24"/>
          <w:szCs w:val="24"/>
        </w:rPr>
        <w:t>rzy</w:t>
      </w:r>
      <w:r w:rsidRPr="00746D46">
        <w:rPr>
          <w:bCs/>
          <w:sz w:val="24"/>
          <w:szCs w:val="24"/>
        </w:rPr>
        <w:t>jęło rezolucję w sprawie „sytuacji obrońców praw człowieka w państwach członkowskich</w:t>
      </w:r>
      <w:r w:rsidRPr="00746D46">
        <w:rPr>
          <w:sz w:val="24"/>
          <w:szCs w:val="24"/>
        </w:rPr>
        <w:t xml:space="preserve"> </w:t>
      </w:r>
      <w:r>
        <w:rPr>
          <w:bCs/>
          <w:sz w:val="24"/>
          <w:szCs w:val="24"/>
        </w:rPr>
        <w:t>Rady Europy”</w:t>
      </w:r>
      <w:r w:rsidRPr="00746D46">
        <w:rPr>
          <w:bCs/>
          <w:sz w:val="24"/>
          <w:szCs w:val="24"/>
        </w:rPr>
        <w:t>, w której „wyraził</w:t>
      </w:r>
      <w:r>
        <w:rPr>
          <w:bCs/>
          <w:sz w:val="24"/>
          <w:szCs w:val="24"/>
        </w:rPr>
        <w:t>o</w:t>
      </w:r>
      <w:r w:rsidRPr="00746D46">
        <w:rPr>
          <w:bCs/>
          <w:sz w:val="24"/>
          <w:szCs w:val="24"/>
        </w:rPr>
        <w:t xml:space="preserve"> słowa uznania obrońcom praw człowieka, których pełna zaangażowania praca jest bardzo </w:t>
      </w:r>
      <w:r>
        <w:rPr>
          <w:bCs/>
          <w:sz w:val="24"/>
          <w:szCs w:val="24"/>
        </w:rPr>
        <w:t>ceniona”</w:t>
      </w:r>
      <w:r w:rsidRPr="00746D46">
        <w:rPr>
          <w:bCs/>
          <w:sz w:val="24"/>
          <w:szCs w:val="24"/>
        </w:rPr>
        <w:t>. Mimo że Zgromadzenie z zadowoleniem przyjęło fakt, że w większości europejskich państw obrońcy praw człowieka są w stanie pracować bez przeszkód i korzystać z ochrony prawa, to zdecydowanie potępiło wszelkie ataki na obrońców praw człowieka, które jednak miały miejsce, niezależnie od tego, czy zostały one przeprowadzone „przez funkcjonari</w:t>
      </w:r>
      <w:r>
        <w:rPr>
          <w:bCs/>
          <w:sz w:val="24"/>
          <w:szCs w:val="24"/>
        </w:rPr>
        <w:t>uszy publicznych lub inne osoby”</w:t>
      </w:r>
      <w:r w:rsidRPr="00746D46">
        <w:rPr>
          <w:bCs/>
          <w:sz w:val="24"/>
          <w:szCs w:val="24"/>
        </w:rPr>
        <w:t>, przy czym t</w:t>
      </w:r>
      <w:r>
        <w:rPr>
          <w:bCs/>
          <w:sz w:val="24"/>
          <w:szCs w:val="24"/>
        </w:rPr>
        <w:t>o</w:t>
      </w:r>
      <w:r w:rsidRPr="00746D46">
        <w:rPr>
          <w:bCs/>
          <w:sz w:val="24"/>
          <w:szCs w:val="24"/>
        </w:rPr>
        <w:t xml:space="preserve"> ostatnie </w:t>
      </w:r>
      <w:r>
        <w:rPr>
          <w:bCs/>
          <w:sz w:val="24"/>
          <w:szCs w:val="24"/>
        </w:rPr>
        <w:t>sformułowanie</w:t>
      </w:r>
      <w:r w:rsidRPr="00746D46">
        <w:rPr>
          <w:bCs/>
          <w:sz w:val="24"/>
          <w:szCs w:val="24"/>
        </w:rPr>
        <w:t xml:space="preserve"> odnos</w:t>
      </w:r>
      <w:r>
        <w:rPr>
          <w:bCs/>
          <w:sz w:val="24"/>
          <w:szCs w:val="24"/>
        </w:rPr>
        <w:t>i</w:t>
      </w:r>
      <w:r w:rsidRPr="00746D46">
        <w:rPr>
          <w:bCs/>
          <w:sz w:val="24"/>
          <w:szCs w:val="24"/>
        </w:rPr>
        <w:t xml:space="preserve"> się do podmiotów niepaństwowych, w tym przedsiębiorstw.</w:t>
      </w:r>
      <w:r w:rsidRPr="00746D46">
        <w:rPr>
          <w:rStyle w:val="Odwoanieprzypisukocowego"/>
          <w:bCs/>
          <w:sz w:val="24"/>
          <w:szCs w:val="24"/>
        </w:rPr>
        <w:endnoteReference w:id="51"/>
      </w:r>
      <w:r w:rsidRPr="00746D46">
        <w:rPr>
          <w:bCs/>
          <w:sz w:val="24"/>
          <w:szCs w:val="24"/>
        </w:rPr>
        <w:t xml:space="preserve"> W tym kontekście</w:t>
      </w:r>
      <w:r>
        <w:rPr>
          <w:bCs/>
          <w:sz w:val="24"/>
          <w:szCs w:val="24"/>
        </w:rPr>
        <w:t xml:space="preserve"> szczególnie istotna jest</w:t>
      </w:r>
      <w:r w:rsidRPr="00746D46">
        <w:rPr>
          <w:bCs/>
          <w:sz w:val="24"/>
          <w:szCs w:val="24"/>
        </w:rPr>
        <w:t xml:space="preserve"> deklaracja Komitetu Ministrów w sprawie ochrony wolności wypowiedzi w związku z dostępem do Internetu,</w:t>
      </w:r>
      <w:r w:rsidRPr="00746D46">
        <w:rPr>
          <w:rStyle w:val="Odwoanieprzypisukocowego"/>
          <w:bCs/>
          <w:sz w:val="24"/>
          <w:szCs w:val="24"/>
        </w:rPr>
        <w:endnoteReference w:id="52"/>
      </w:r>
      <w:r w:rsidRPr="00746D46">
        <w:rPr>
          <w:bCs/>
          <w:sz w:val="24"/>
          <w:szCs w:val="24"/>
        </w:rPr>
        <w:t xml:space="preserve"> w której </w:t>
      </w:r>
      <w:r>
        <w:rPr>
          <w:bCs/>
          <w:sz w:val="24"/>
          <w:szCs w:val="24"/>
        </w:rPr>
        <w:t xml:space="preserve">Komitet </w:t>
      </w:r>
      <w:r w:rsidRPr="00746D46">
        <w:rPr>
          <w:bCs/>
          <w:sz w:val="24"/>
          <w:szCs w:val="24"/>
        </w:rPr>
        <w:t>odniósł się w szczególności do obrońców praw człowieka. W deklaracji tej Komitet potępił ataki blokujące strony internetowe obrońców praw człowieka dokon</w:t>
      </w:r>
      <w:r>
        <w:rPr>
          <w:bCs/>
          <w:sz w:val="24"/>
          <w:szCs w:val="24"/>
        </w:rPr>
        <w:t>yw</w:t>
      </w:r>
      <w:r w:rsidRPr="00746D46">
        <w:rPr>
          <w:bCs/>
          <w:sz w:val="24"/>
          <w:szCs w:val="24"/>
        </w:rPr>
        <w:t xml:space="preserve">ane przez prywatne platformy internetowe. </w:t>
      </w:r>
      <w:r>
        <w:rPr>
          <w:bCs/>
          <w:sz w:val="24"/>
          <w:szCs w:val="24"/>
        </w:rPr>
        <w:t>P</w:t>
      </w:r>
      <w:r w:rsidRPr="00746D46">
        <w:rPr>
          <w:bCs/>
          <w:sz w:val="24"/>
          <w:szCs w:val="24"/>
        </w:rPr>
        <w:t>rzedsiębiorstwa</w:t>
      </w:r>
      <w:r>
        <w:rPr>
          <w:bCs/>
          <w:sz w:val="24"/>
          <w:szCs w:val="24"/>
        </w:rPr>
        <w:t xml:space="preserve"> te</w:t>
      </w:r>
      <w:r w:rsidRPr="00746D46">
        <w:rPr>
          <w:bCs/>
          <w:sz w:val="24"/>
          <w:szCs w:val="24"/>
        </w:rPr>
        <w:t xml:space="preserve"> usprawiedliwiały się</w:t>
      </w:r>
      <w:r>
        <w:rPr>
          <w:bCs/>
          <w:sz w:val="24"/>
          <w:szCs w:val="24"/>
        </w:rPr>
        <w:t xml:space="preserve"> zazwyczaj potrzebą</w:t>
      </w:r>
      <w:r w:rsidRPr="00746D46">
        <w:rPr>
          <w:bCs/>
          <w:sz w:val="24"/>
          <w:szCs w:val="24"/>
        </w:rPr>
        <w:t xml:space="preserve"> </w:t>
      </w:r>
      <w:r>
        <w:rPr>
          <w:bCs/>
          <w:sz w:val="24"/>
          <w:szCs w:val="24"/>
        </w:rPr>
        <w:t>egzekwowania</w:t>
      </w:r>
      <w:r w:rsidRPr="00746D46">
        <w:rPr>
          <w:bCs/>
          <w:sz w:val="24"/>
          <w:szCs w:val="24"/>
        </w:rPr>
        <w:t xml:space="preserve"> zgodnoś</w:t>
      </w:r>
      <w:r>
        <w:rPr>
          <w:bCs/>
          <w:sz w:val="24"/>
          <w:szCs w:val="24"/>
        </w:rPr>
        <w:t>ci</w:t>
      </w:r>
      <w:r w:rsidRPr="00746D46">
        <w:rPr>
          <w:bCs/>
          <w:sz w:val="24"/>
          <w:szCs w:val="24"/>
        </w:rPr>
        <w:t xml:space="preserve"> z</w:t>
      </w:r>
      <w:r>
        <w:rPr>
          <w:bCs/>
          <w:sz w:val="24"/>
          <w:szCs w:val="24"/>
        </w:rPr>
        <w:t>e swymi</w:t>
      </w:r>
      <w:r w:rsidRPr="00746D46">
        <w:rPr>
          <w:bCs/>
          <w:sz w:val="24"/>
          <w:szCs w:val="24"/>
        </w:rPr>
        <w:t xml:space="preserve"> warunkami </w:t>
      </w:r>
      <w:r>
        <w:rPr>
          <w:bCs/>
          <w:sz w:val="24"/>
          <w:szCs w:val="24"/>
        </w:rPr>
        <w:t>świadczenia usług</w:t>
      </w:r>
      <w:r w:rsidRPr="00746D46">
        <w:rPr>
          <w:bCs/>
          <w:sz w:val="24"/>
          <w:szCs w:val="24"/>
        </w:rPr>
        <w:t xml:space="preserve">. Komitet Ministrów podkreślił konieczność </w:t>
      </w:r>
      <w:r>
        <w:rPr>
          <w:bCs/>
          <w:sz w:val="24"/>
          <w:szCs w:val="24"/>
        </w:rPr>
        <w:t>prowadzenia skuteczniejszej</w:t>
      </w:r>
      <w:r w:rsidRPr="00746D46">
        <w:rPr>
          <w:bCs/>
          <w:sz w:val="24"/>
          <w:szCs w:val="24"/>
        </w:rPr>
        <w:t xml:space="preserve"> polityki</w:t>
      </w:r>
      <w:r>
        <w:rPr>
          <w:bCs/>
          <w:sz w:val="24"/>
          <w:szCs w:val="24"/>
        </w:rPr>
        <w:t>,</w:t>
      </w:r>
      <w:r w:rsidRPr="00746D46">
        <w:rPr>
          <w:bCs/>
          <w:sz w:val="24"/>
          <w:szCs w:val="24"/>
        </w:rPr>
        <w:t xml:space="preserve"> </w:t>
      </w:r>
      <w:r>
        <w:rPr>
          <w:bCs/>
          <w:sz w:val="24"/>
          <w:szCs w:val="24"/>
        </w:rPr>
        <w:t xml:space="preserve">która </w:t>
      </w:r>
      <w:r w:rsidRPr="00746D46">
        <w:rPr>
          <w:bCs/>
          <w:sz w:val="24"/>
          <w:szCs w:val="24"/>
        </w:rPr>
        <w:t>obrońc</w:t>
      </w:r>
      <w:r>
        <w:rPr>
          <w:bCs/>
          <w:sz w:val="24"/>
          <w:szCs w:val="24"/>
        </w:rPr>
        <w:t>om</w:t>
      </w:r>
      <w:r w:rsidRPr="00746D46">
        <w:rPr>
          <w:bCs/>
          <w:sz w:val="24"/>
          <w:szCs w:val="24"/>
        </w:rPr>
        <w:t xml:space="preserve"> praw człowieka </w:t>
      </w:r>
      <w:r>
        <w:rPr>
          <w:bCs/>
          <w:sz w:val="24"/>
          <w:szCs w:val="24"/>
        </w:rPr>
        <w:t>wystawionym na</w:t>
      </w:r>
      <w:r w:rsidRPr="00746D46">
        <w:rPr>
          <w:bCs/>
          <w:sz w:val="24"/>
          <w:szCs w:val="24"/>
        </w:rPr>
        <w:t xml:space="preserve"> taki</w:t>
      </w:r>
      <w:r>
        <w:rPr>
          <w:bCs/>
          <w:sz w:val="24"/>
          <w:szCs w:val="24"/>
        </w:rPr>
        <w:t>e</w:t>
      </w:r>
      <w:r w:rsidRPr="00746D46">
        <w:rPr>
          <w:bCs/>
          <w:sz w:val="24"/>
          <w:szCs w:val="24"/>
        </w:rPr>
        <w:t xml:space="preserve"> ataki</w:t>
      </w:r>
      <w:r w:rsidRPr="00A4119C">
        <w:rPr>
          <w:bCs/>
          <w:sz w:val="24"/>
          <w:szCs w:val="24"/>
        </w:rPr>
        <w:t xml:space="preserve"> </w:t>
      </w:r>
      <w:r>
        <w:rPr>
          <w:bCs/>
          <w:sz w:val="24"/>
          <w:szCs w:val="24"/>
        </w:rPr>
        <w:t>zapewniałaby</w:t>
      </w:r>
      <w:r w:rsidRPr="00746D46">
        <w:rPr>
          <w:bCs/>
          <w:sz w:val="24"/>
          <w:szCs w:val="24"/>
        </w:rPr>
        <w:t xml:space="preserve"> wolnoś</w:t>
      </w:r>
      <w:r>
        <w:rPr>
          <w:bCs/>
          <w:sz w:val="24"/>
          <w:szCs w:val="24"/>
        </w:rPr>
        <w:t>ć</w:t>
      </w:r>
      <w:r w:rsidRPr="00746D46">
        <w:rPr>
          <w:bCs/>
          <w:sz w:val="24"/>
          <w:szCs w:val="24"/>
        </w:rPr>
        <w:t xml:space="preserve"> wypowiedzi.</w:t>
      </w:r>
      <w:r w:rsidRPr="00746D46">
        <w:rPr>
          <w:rStyle w:val="Odwoanieprzypisukocowego"/>
          <w:bCs/>
          <w:sz w:val="24"/>
          <w:szCs w:val="24"/>
        </w:rPr>
        <w:endnoteReference w:id="53"/>
      </w:r>
      <w:r w:rsidRPr="00746D46">
        <w:rPr>
          <w:bCs/>
          <w:sz w:val="24"/>
          <w:szCs w:val="24"/>
        </w:rPr>
        <w:t xml:space="preserve"> </w:t>
      </w:r>
    </w:p>
    <w:p w:rsidR="00591EC1" w:rsidRPr="00746D46" w:rsidRDefault="00591EC1" w:rsidP="00E7396B">
      <w:pPr>
        <w:pStyle w:val="Akapitzlist"/>
        <w:spacing w:line="240" w:lineRule="auto"/>
        <w:ind w:left="1069"/>
        <w:jc w:val="both"/>
        <w:rPr>
          <w:bCs/>
          <w:sz w:val="24"/>
          <w:szCs w:val="24"/>
        </w:rPr>
      </w:pPr>
    </w:p>
    <w:p w:rsidR="00591EC1" w:rsidRPr="00746D46" w:rsidRDefault="00591EC1" w:rsidP="00E7396B">
      <w:pPr>
        <w:spacing w:before="120" w:after="120" w:line="240" w:lineRule="auto"/>
        <w:ind w:left="567"/>
        <w:jc w:val="both"/>
      </w:pPr>
      <w:r w:rsidRPr="00746D46">
        <w:rPr>
          <w:bCs/>
          <w:i/>
          <w:sz w:val="24"/>
          <w:szCs w:val="24"/>
        </w:rPr>
        <w:t>Obrońcy praw człowieka w krajach trzecich</w:t>
      </w:r>
    </w:p>
    <w:p w:rsidR="00591EC1" w:rsidRPr="00746D46" w:rsidRDefault="00591EC1" w:rsidP="00E7396B">
      <w:pPr>
        <w:pStyle w:val="Akapitzlist"/>
        <w:numPr>
          <w:ilvl w:val="0"/>
          <w:numId w:val="19"/>
        </w:numPr>
        <w:spacing w:before="120" w:after="120" w:line="240" w:lineRule="auto"/>
        <w:ind w:left="567"/>
        <w:contextualSpacing w:val="0"/>
        <w:jc w:val="both"/>
        <w:rPr>
          <w:bCs/>
          <w:sz w:val="24"/>
          <w:szCs w:val="24"/>
        </w:rPr>
      </w:pPr>
      <w:r w:rsidRPr="00746D46">
        <w:rPr>
          <w:bCs/>
          <w:sz w:val="24"/>
          <w:szCs w:val="24"/>
          <w:u w:val="single"/>
        </w:rPr>
        <w:t>Paragraf 70 Rekomendacji</w:t>
      </w:r>
      <w:r w:rsidRPr="00746D46">
        <w:rPr>
          <w:bCs/>
          <w:sz w:val="24"/>
          <w:szCs w:val="24"/>
        </w:rPr>
        <w:t xml:space="preserve"> przewiduje, że państwa członkowskie powinny chronić oraz wspierać, na przykład za pośrednictwem swoich misji dyplomatycznych i konsularnych, pracę obrońców praw człowieka, którzy koncentrują się na wpływie biznesu na prawa człowieka w państwach trzecich. Niektóre państwa członkowskie podjęły już tę kwestię w swoich Krajowych Planach Działania.</w:t>
      </w:r>
    </w:p>
    <w:p w:rsidR="00591EC1" w:rsidRPr="00746D46" w:rsidRDefault="00591EC1" w:rsidP="00E7396B">
      <w:pPr>
        <w:pStyle w:val="Akapitzlist"/>
        <w:spacing w:line="240" w:lineRule="auto"/>
        <w:ind w:left="1069"/>
        <w:jc w:val="both"/>
        <w:rPr>
          <w:bCs/>
          <w:sz w:val="24"/>
          <w:szCs w:val="24"/>
        </w:rPr>
      </w:pPr>
    </w:p>
    <w:p w:rsidR="00591EC1" w:rsidRPr="00746D46" w:rsidRDefault="00591EC1" w:rsidP="00E7396B">
      <w:pPr>
        <w:spacing w:before="120" w:after="120" w:line="240" w:lineRule="auto"/>
        <w:ind w:left="567"/>
        <w:jc w:val="both"/>
        <w:rPr>
          <w:bCs/>
          <w:i/>
          <w:sz w:val="24"/>
          <w:szCs w:val="24"/>
        </w:rPr>
      </w:pPr>
      <w:r w:rsidRPr="00746D46">
        <w:rPr>
          <w:bCs/>
          <w:i/>
          <w:sz w:val="24"/>
          <w:szCs w:val="24"/>
        </w:rPr>
        <w:t xml:space="preserve">Istotne standardy międzynarodowe i europejskie </w:t>
      </w:r>
    </w:p>
    <w:p w:rsidR="00591EC1" w:rsidRPr="00746D46" w:rsidRDefault="00591EC1" w:rsidP="00E7396B">
      <w:pPr>
        <w:pStyle w:val="Akapitzlist"/>
        <w:numPr>
          <w:ilvl w:val="0"/>
          <w:numId w:val="19"/>
        </w:numPr>
        <w:spacing w:before="120" w:after="120" w:line="240" w:lineRule="auto"/>
        <w:ind w:left="567"/>
        <w:contextualSpacing w:val="0"/>
        <w:jc w:val="both"/>
        <w:rPr>
          <w:bCs/>
          <w:sz w:val="24"/>
          <w:szCs w:val="24"/>
        </w:rPr>
      </w:pPr>
      <w:r w:rsidRPr="00746D46">
        <w:rPr>
          <w:bCs/>
          <w:sz w:val="24"/>
          <w:szCs w:val="24"/>
        </w:rPr>
        <w:t>Niezależnie od tego, czy siedzib</w:t>
      </w:r>
      <w:r>
        <w:rPr>
          <w:bCs/>
          <w:sz w:val="24"/>
          <w:szCs w:val="24"/>
        </w:rPr>
        <w:t>a obrońców praw człowieka mieści si</w:t>
      </w:r>
      <w:r w:rsidRPr="00746D46">
        <w:rPr>
          <w:bCs/>
          <w:sz w:val="24"/>
          <w:szCs w:val="24"/>
        </w:rPr>
        <w:t xml:space="preserve">ę w obrębie ich jurysdykcji </w:t>
      </w:r>
      <w:r>
        <w:rPr>
          <w:bCs/>
          <w:sz w:val="24"/>
          <w:szCs w:val="24"/>
        </w:rPr>
        <w:t>czy</w:t>
      </w:r>
      <w:r w:rsidRPr="00746D46">
        <w:rPr>
          <w:bCs/>
          <w:sz w:val="24"/>
          <w:szCs w:val="24"/>
        </w:rPr>
        <w:t xml:space="preserve"> za granicą, państwa członkowskie</w:t>
      </w:r>
      <w:r>
        <w:rPr>
          <w:bCs/>
          <w:sz w:val="24"/>
          <w:szCs w:val="24"/>
        </w:rPr>
        <w:t>,</w:t>
      </w:r>
      <w:r w:rsidRPr="00746D46">
        <w:rPr>
          <w:bCs/>
          <w:sz w:val="24"/>
          <w:szCs w:val="24"/>
        </w:rPr>
        <w:t xml:space="preserve"> zapewniając ochronę </w:t>
      </w:r>
      <w:r>
        <w:rPr>
          <w:bCs/>
          <w:sz w:val="24"/>
          <w:szCs w:val="24"/>
        </w:rPr>
        <w:t xml:space="preserve">wspominanym </w:t>
      </w:r>
      <w:r w:rsidRPr="00746D46">
        <w:rPr>
          <w:bCs/>
          <w:sz w:val="24"/>
          <w:szCs w:val="24"/>
        </w:rPr>
        <w:t>obrońc</w:t>
      </w:r>
      <w:r>
        <w:rPr>
          <w:bCs/>
          <w:sz w:val="24"/>
          <w:szCs w:val="24"/>
        </w:rPr>
        <w:t xml:space="preserve">om, </w:t>
      </w:r>
      <w:r w:rsidRPr="00746D46">
        <w:rPr>
          <w:bCs/>
          <w:sz w:val="24"/>
          <w:szCs w:val="24"/>
        </w:rPr>
        <w:t>mogą uwzględnić odpowiednie</w:t>
      </w:r>
      <w:r>
        <w:rPr>
          <w:bCs/>
          <w:sz w:val="24"/>
          <w:szCs w:val="24"/>
        </w:rPr>
        <w:t xml:space="preserve"> standardy</w:t>
      </w:r>
      <w:r w:rsidRPr="00746D46">
        <w:rPr>
          <w:bCs/>
          <w:sz w:val="24"/>
          <w:szCs w:val="24"/>
        </w:rPr>
        <w:t xml:space="preserve"> międzynarodowe i europejskie. Są to w szczególności „Deklaracja ONZ w sprawie praw i obowiązków jednostek, grup i organów</w:t>
      </w:r>
      <w:r>
        <w:rPr>
          <w:bCs/>
          <w:sz w:val="24"/>
          <w:szCs w:val="24"/>
        </w:rPr>
        <w:t xml:space="preserve"> </w:t>
      </w:r>
      <w:r w:rsidRPr="00746D46">
        <w:rPr>
          <w:bCs/>
          <w:sz w:val="24"/>
          <w:szCs w:val="24"/>
        </w:rPr>
        <w:t>społecznych na rzecz promowania i ochrony powszechnie uznawanych praw cz</w:t>
      </w:r>
      <w:r>
        <w:rPr>
          <w:bCs/>
          <w:sz w:val="24"/>
          <w:szCs w:val="24"/>
        </w:rPr>
        <w:t>łowieka i wolności podstawowych”</w:t>
      </w:r>
      <w:r w:rsidRPr="00746D46">
        <w:rPr>
          <w:bCs/>
          <w:sz w:val="24"/>
          <w:szCs w:val="24"/>
        </w:rPr>
        <w:t xml:space="preserve"> z dnia 9 grudnia 1998 r., „Deklaracja Komitetu Ministrów w sprawie działań Rady Europy mających na celu poprawę ochrony </w:t>
      </w:r>
      <w:r w:rsidRPr="00746D46">
        <w:rPr>
          <w:bCs/>
          <w:sz w:val="24"/>
          <w:szCs w:val="24"/>
        </w:rPr>
        <w:lastRenderedPageBreak/>
        <w:t>obrońców praw człowieka i promowanie ich</w:t>
      </w:r>
      <w:r>
        <w:rPr>
          <w:bCs/>
          <w:sz w:val="24"/>
          <w:szCs w:val="24"/>
        </w:rPr>
        <w:t xml:space="preserve"> działań”</w:t>
      </w:r>
      <w:r w:rsidRPr="00746D46">
        <w:rPr>
          <w:bCs/>
          <w:sz w:val="24"/>
          <w:szCs w:val="24"/>
        </w:rPr>
        <w:t xml:space="preserve"> z dnia 6 lutego 2008 r., a także „Wytyczne Unii Europejskiej w </w:t>
      </w:r>
      <w:r>
        <w:rPr>
          <w:bCs/>
          <w:sz w:val="24"/>
          <w:szCs w:val="24"/>
        </w:rPr>
        <w:t>sprawie obrońców praw człowieka”</w:t>
      </w:r>
      <w:r w:rsidRPr="00746D46">
        <w:rPr>
          <w:bCs/>
          <w:sz w:val="24"/>
          <w:szCs w:val="24"/>
        </w:rPr>
        <w:t xml:space="preserve"> z dnia 6 grudnia 2008 r.</w:t>
      </w:r>
    </w:p>
    <w:p w:rsidR="00591EC1" w:rsidRPr="00A42E41" w:rsidRDefault="00591EC1" w:rsidP="00E7396B">
      <w:pPr>
        <w:spacing w:before="120" w:after="120" w:line="240" w:lineRule="auto"/>
        <w:jc w:val="both"/>
        <w:rPr>
          <w:bCs/>
          <w:sz w:val="24"/>
          <w:szCs w:val="24"/>
        </w:rPr>
      </w:pPr>
    </w:p>
    <w:p w:rsidR="00591EC1" w:rsidRPr="00A42E41" w:rsidRDefault="00591EC1" w:rsidP="00E7396B">
      <w:pPr>
        <w:pStyle w:val="Akapitzlist"/>
        <w:spacing w:before="120" w:after="120" w:line="240" w:lineRule="auto"/>
        <w:ind w:left="1429"/>
        <w:contextualSpacing w:val="0"/>
        <w:jc w:val="both"/>
        <w:rPr>
          <w:bCs/>
          <w:sz w:val="24"/>
          <w:szCs w:val="24"/>
        </w:rPr>
      </w:pPr>
    </w:p>
    <w:p w:rsidR="00591EC1" w:rsidRPr="00591EC1" w:rsidRDefault="00591EC1" w:rsidP="00E7396B">
      <w:pPr>
        <w:spacing w:before="120" w:after="120" w:line="240" w:lineRule="auto"/>
        <w:jc w:val="both"/>
        <w:rPr>
          <w:sz w:val="24"/>
          <w:szCs w:val="24"/>
        </w:rPr>
      </w:pPr>
    </w:p>
    <w:p w:rsidR="005644D8" w:rsidRPr="00AA7D8D" w:rsidRDefault="005644D8" w:rsidP="00E7396B">
      <w:pPr>
        <w:spacing w:before="120" w:after="120" w:line="240" w:lineRule="auto"/>
        <w:ind w:left="360"/>
        <w:jc w:val="both"/>
        <w:rPr>
          <w:sz w:val="24"/>
          <w:szCs w:val="24"/>
        </w:rPr>
      </w:pPr>
      <w:r w:rsidRPr="00AA7D8D">
        <w:rPr>
          <w:sz w:val="24"/>
          <w:szCs w:val="24"/>
        </w:rPr>
        <w:t xml:space="preserve"> </w:t>
      </w:r>
    </w:p>
    <w:p w:rsidR="00CA5B36" w:rsidRPr="00AA7D8D" w:rsidRDefault="00CA5B36" w:rsidP="00E7396B">
      <w:pPr>
        <w:spacing w:before="120" w:after="120" w:line="240" w:lineRule="auto"/>
        <w:jc w:val="both"/>
        <w:rPr>
          <w:sz w:val="24"/>
          <w:szCs w:val="24"/>
        </w:rPr>
      </w:pPr>
    </w:p>
    <w:p w:rsidR="006D1283" w:rsidRPr="00AA7D8D" w:rsidRDefault="006D1283" w:rsidP="00E7396B">
      <w:pPr>
        <w:spacing w:before="120" w:after="120" w:line="240" w:lineRule="auto"/>
        <w:jc w:val="both"/>
        <w:rPr>
          <w:sz w:val="24"/>
          <w:szCs w:val="24"/>
        </w:rPr>
      </w:pPr>
    </w:p>
    <w:p w:rsidR="006D1283" w:rsidRPr="00AA7D8D" w:rsidRDefault="006D1283" w:rsidP="00E7396B">
      <w:pPr>
        <w:spacing w:before="120" w:after="120" w:line="240" w:lineRule="auto"/>
        <w:jc w:val="both"/>
        <w:rPr>
          <w:sz w:val="24"/>
          <w:szCs w:val="24"/>
        </w:rPr>
      </w:pPr>
    </w:p>
    <w:p w:rsidR="005E6847" w:rsidRPr="00AA7D8D" w:rsidRDefault="005E6847" w:rsidP="00E7396B">
      <w:pPr>
        <w:spacing w:before="120" w:after="120" w:line="240" w:lineRule="auto"/>
        <w:jc w:val="both"/>
        <w:rPr>
          <w:sz w:val="24"/>
          <w:szCs w:val="24"/>
        </w:rPr>
      </w:pPr>
    </w:p>
    <w:sectPr w:rsidR="005E6847" w:rsidRPr="00AA7D8D" w:rsidSect="00A52948">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358" w:rsidRDefault="00702358" w:rsidP="00A34373">
      <w:pPr>
        <w:spacing w:after="0" w:line="240" w:lineRule="auto"/>
      </w:pPr>
      <w:r>
        <w:separator/>
      </w:r>
    </w:p>
  </w:endnote>
  <w:endnote w:type="continuationSeparator" w:id="0">
    <w:p w:rsidR="00702358" w:rsidRDefault="00702358" w:rsidP="00A34373">
      <w:pPr>
        <w:spacing w:after="0" w:line="240" w:lineRule="auto"/>
      </w:pPr>
      <w:r>
        <w:continuationSeparator/>
      </w:r>
    </w:p>
  </w:endnote>
  <w:endnote w:id="1">
    <w:p w:rsidR="00263549" w:rsidRPr="005625FD" w:rsidRDefault="00263549" w:rsidP="00591EC1">
      <w:pPr>
        <w:pStyle w:val="Tekstprzypisukocowego"/>
        <w:spacing w:line="276" w:lineRule="auto"/>
        <w:jc w:val="both"/>
        <w:rPr>
          <w:lang w:val="en-US"/>
        </w:rPr>
      </w:pPr>
      <w:r w:rsidRPr="005625FD">
        <w:rPr>
          <w:rStyle w:val="Odwoanieprzypisukocowego"/>
        </w:rPr>
        <w:endnoteRef/>
      </w:r>
      <w:r w:rsidRPr="005625FD">
        <w:t xml:space="preserve"> </w:t>
      </w:r>
      <w:proofErr w:type="spellStart"/>
      <w:r w:rsidRPr="005625FD">
        <w:rPr>
          <w:lang w:val="en-US"/>
        </w:rPr>
        <w:t>Zob</w:t>
      </w:r>
      <w:proofErr w:type="spellEnd"/>
      <w:r w:rsidRPr="005625FD">
        <w:rPr>
          <w:lang w:val="en-US"/>
        </w:rPr>
        <w:t xml:space="preserve">. </w:t>
      </w:r>
      <w:proofErr w:type="spellStart"/>
      <w:r w:rsidRPr="005625FD">
        <w:rPr>
          <w:lang w:val="en-US"/>
        </w:rPr>
        <w:t>badanie</w:t>
      </w:r>
      <w:proofErr w:type="spellEnd"/>
      <w:r w:rsidRPr="005625FD">
        <w:rPr>
          <w:lang w:val="en-US"/>
        </w:rPr>
        <w:t xml:space="preserve"> </w:t>
      </w:r>
      <w:proofErr w:type="spellStart"/>
      <w:r w:rsidRPr="005625FD">
        <w:rPr>
          <w:lang w:val="en-US"/>
        </w:rPr>
        <w:t>dostępne</w:t>
      </w:r>
      <w:proofErr w:type="spellEnd"/>
      <w:r w:rsidRPr="005625FD">
        <w:rPr>
          <w:lang w:val="en-US"/>
        </w:rPr>
        <w:t xml:space="preserve"> w</w:t>
      </w:r>
      <w:r w:rsidRPr="005625FD">
        <w:t>: The Economist “The Road from Principles to Practice – today’s challenges for business in respecting human rights”, 2015, str. 4.</w:t>
      </w:r>
    </w:p>
  </w:endnote>
  <w:endnote w:id="2">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Od tego miejsca wszystkie odniesienia do Rekomendacji odnoszą się do załącznika do Rekomendacji, chyba że podano inaczej.</w:t>
      </w:r>
    </w:p>
  </w:endnote>
  <w:endnote w:id="3">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w:t>
      </w:r>
      <w:proofErr w:type="spellStart"/>
      <w:r w:rsidRPr="005625FD">
        <w:rPr>
          <w:i/>
          <w:lang w:val="pl-PL"/>
        </w:rPr>
        <w:t>Abdulaziz</w:t>
      </w:r>
      <w:proofErr w:type="spellEnd"/>
      <w:r w:rsidRPr="005625FD">
        <w:rPr>
          <w:i/>
          <w:lang w:val="pl-PL"/>
        </w:rPr>
        <w:t xml:space="preserve">, </w:t>
      </w:r>
      <w:proofErr w:type="spellStart"/>
      <w:r w:rsidRPr="005625FD">
        <w:rPr>
          <w:i/>
          <w:lang w:val="pl-PL"/>
        </w:rPr>
        <w:t>Cabales</w:t>
      </w:r>
      <w:proofErr w:type="spellEnd"/>
      <w:r w:rsidRPr="005625FD">
        <w:rPr>
          <w:i/>
          <w:lang w:val="pl-PL"/>
        </w:rPr>
        <w:t xml:space="preserve"> i </w:t>
      </w:r>
      <w:proofErr w:type="spellStart"/>
      <w:r w:rsidRPr="005625FD">
        <w:rPr>
          <w:i/>
          <w:lang w:val="pl-PL"/>
        </w:rPr>
        <w:t>Balkandali</w:t>
      </w:r>
      <w:proofErr w:type="spellEnd"/>
      <w:r w:rsidRPr="005625FD">
        <w:rPr>
          <w:i/>
          <w:lang w:val="pl-PL"/>
        </w:rPr>
        <w:t xml:space="preserve"> p. Wielkiej Brytanii</w:t>
      </w:r>
      <w:r w:rsidRPr="005625FD">
        <w:rPr>
          <w:lang w:val="pl-PL"/>
        </w:rPr>
        <w:t xml:space="preserve"> (nr 9214/80 i in.), wyrok z 28 maja 1985 r.</w:t>
      </w:r>
    </w:p>
  </w:endnote>
  <w:endnote w:id="4">
    <w:p w:rsidR="00263549" w:rsidRPr="005625FD" w:rsidRDefault="00263549" w:rsidP="00591EC1">
      <w:pPr>
        <w:pStyle w:val="Tekstprzypisukocowego"/>
        <w:spacing w:line="276" w:lineRule="auto"/>
        <w:jc w:val="both"/>
        <w:rPr>
          <w:lang w:val="en-US"/>
        </w:rPr>
      </w:pPr>
      <w:r w:rsidRPr="005625FD">
        <w:rPr>
          <w:rStyle w:val="Odwoanieprzypisukocowego"/>
        </w:rPr>
        <w:endnoteRef/>
      </w:r>
      <w:r w:rsidRPr="005625FD">
        <w:t xml:space="preserve"> http://business-humanrights.org/en/un-guiding-principles/implementation-tools-examples/implementation-by- governments/by-type-of-initiative/national-action-plans</w:t>
      </w:r>
    </w:p>
  </w:endnote>
  <w:endnote w:id="5">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w:t>
      </w:r>
      <w:r w:rsidRPr="005625FD">
        <w:rPr>
          <w:i/>
          <w:lang w:val="pl-PL"/>
        </w:rPr>
        <w:t>Osman p. Wielkiej Brytanii</w:t>
      </w:r>
      <w:r w:rsidRPr="005625FD">
        <w:rPr>
          <w:lang w:val="pl-PL"/>
        </w:rPr>
        <w:t xml:space="preserve"> (nr 23452/94), wyrok z 28 października 1998 r. (Wielka Izba), para. 115-116.</w:t>
      </w:r>
    </w:p>
  </w:endnote>
  <w:endnote w:id="6">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w:t>
      </w:r>
      <w:r w:rsidRPr="005625FD">
        <w:rPr>
          <w:i/>
          <w:lang w:val="pl-PL"/>
        </w:rPr>
        <w:t>Z i inni p. Wielkiej Brytanii</w:t>
      </w:r>
      <w:r w:rsidRPr="005625FD">
        <w:rPr>
          <w:lang w:val="pl-PL"/>
        </w:rPr>
        <w:t xml:space="preserve"> (nr 29392/95), wyrok z 10 maja 2001 r. (Wielka Izba), para. 73.</w:t>
      </w:r>
    </w:p>
  </w:endnote>
  <w:endnote w:id="7">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w:t>
      </w:r>
      <w:proofErr w:type="spellStart"/>
      <w:r w:rsidRPr="005625FD">
        <w:rPr>
          <w:i/>
          <w:lang w:val="pl-PL"/>
        </w:rPr>
        <w:t>Rantsev</w:t>
      </w:r>
      <w:proofErr w:type="spellEnd"/>
      <w:r w:rsidRPr="005625FD">
        <w:rPr>
          <w:i/>
          <w:lang w:val="pl-PL"/>
        </w:rPr>
        <w:t xml:space="preserve"> p. Cyprowi i Rosji</w:t>
      </w:r>
      <w:r w:rsidRPr="005625FD">
        <w:rPr>
          <w:lang w:val="pl-PL"/>
        </w:rPr>
        <w:t xml:space="preserve"> (nr 25965/04), wyrok z 7 stycznia 2010 r., para. 286–287; </w:t>
      </w:r>
      <w:proofErr w:type="spellStart"/>
      <w:r w:rsidRPr="005625FD">
        <w:rPr>
          <w:lang w:val="pl-PL"/>
        </w:rPr>
        <w:t>Siliadin</w:t>
      </w:r>
      <w:proofErr w:type="spellEnd"/>
      <w:r w:rsidRPr="005625FD">
        <w:rPr>
          <w:lang w:val="pl-PL"/>
        </w:rPr>
        <w:t xml:space="preserve"> p. Francji (nr 73316/01), wyrok z 25 lipca 2010 r.).</w:t>
      </w:r>
    </w:p>
  </w:endnote>
  <w:endnote w:id="8">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w:t>
      </w:r>
      <w:r w:rsidRPr="005625FD">
        <w:rPr>
          <w:i/>
          <w:lang w:val="pl-PL"/>
        </w:rPr>
        <w:t>Kurt p. Turcji</w:t>
      </w:r>
      <w:r w:rsidRPr="005625FD">
        <w:rPr>
          <w:lang w:val="pl-PL"/>
        </w:rPr>
        <w:t xml:space="preserve"> (nr 24276/94), wyrok z 25 maja 1998 r., para. 124.</w:t>
      </w:r>
    </w:p>
  </w:endnote>
  <w:endnote w:id="9">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w:t>
      </w:r>
      <w:proofErr w:type="spellStart"/>
      <w:r w:rsidRPr="005625FD">
        <w:rPr>
          <w:i/>
          <w:lang w:val="pl-PL"/>
        </w:rPr>
        <w:t>Öneryıldız</w:t>
      </w:r>
      <w:proofErr w:type="spellEnd"/>
      <w:r w:rsidRPr="005625FD">
        <w:rPr>
          <w:i/>
          <w:lang w:val="pl-PL"/>
        </w:rPr>
        <w:t xml:space="preserve"> p. Turcji</w:t>
      </w:r>
      <w:r w:rsidRPr="005625FD">
        <w:rPr>
          <w:lang w:val="pl-PL"/>
        </w:rPr>
        <w:t xml:space="preserve"> (nr 48939/99), wyrok z 30 listopada 2004 r.; </w:t>
      </w:r>
      <w:proofErr w:type="spellStart"/>
      <w:r w:rsidRPr="005625FD">
        <w:rPr>
          <w:i/>
          <w:lang w:val="pl-PL"/>
        </w:rPr>
        <w:t>Kolyadenko</w:t>
      </w:r>
      <w:proofErr w:type="spellEnd"/>
      <w:r w:rsidRPr="005625FD">
        <w:rPr>
          <w:i/>
          <w:lang w:val="pl-PL"/>
        </w:rPr>
        <w:t xml:space="preserve"> i inni p. Rosji</w:t>
      </w:r>
      <w:r w:rsidRPr="005625FD">
        <w:rPr>
          <w:lang w:val="pl-PL"/>
        </w:rPr>
        <w:t xml:space="preserve"> (nr 17423/05 i in.), wyrok z 28 lutego 2012 r.</w:t>
      </w:r>
    </w:p>
  </w:endnote>
  <w:endnote w:id="10">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w:t>
      </w:r>
      <w:proofErr w:type="spellStart"/>
      <w:r w:rsidRPr="005625FD">
        <w:rPr>
          <w:i/>
          <w:lang w:val="pl-PL"/>
        </w:rPr>
        <w:t>Kolyadenko</w:t>
      </w:r>
      <w:proofErr w:type="spellEnd"/>
      <w:r w:rsidRPr="005625FD">
        <w:rPr>
          <w:i/>
          <w:lang w:val="pl-PL"/>
        </w:rPr>
        <w:t xml:space="preserve"> i inni p. Rosji</w:t>
      </w:r>
      <w:r w:rsidRPr="005625FD">
        <w:rPr>
          <w:lang w:val="pl-PL"/>
        </w:rPr>
        <w:t xml:space="preserve"> (nr 17423/05 i in.), wyrok z 28 lutego 2012 r., para. 158.</w:t>
      </w:r>
    </w:p>
  </w:endnote>
  <w:endnote w:id="11">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w:t>
      </w:r>
      <w:r w:rsidRPr="005625FD">
        <w:rPr>
          <w:i/>
          <w:lang w:val="pl-PL"/>
        </w:rPr>
        <w:t>L</w:t>
      </w:r>
      <w:r w:rsidRPr="005625FD">
        <w:rPr>
          <w:i/>
        </w:rPr>
        <w:t>ό</w:t>
      </w:r>
      <w:proofErr w:type="spellStart"/>
      <w:r w:rsidRPr="005625FD">
        <w:rPr>
          <w:i/>
          <w:lang w:val="pl-PL"/>
        </w:rPr>
        <w:t>pez</w:t>
      </w:r>
      <w:proofErr w:type="spellEnd"/>
      <w:r w:rsidRPr="005625FD">
        <w:rPr>
          <w:i/>
          <w:lang w:val="pl-PL"/>
        </w:rPr>
        <w:t xml:space="preserve"> Ostra p. Hiszpanii</w:t>
      </w:r>
      <w:r w:rsidRPr="005625FD">
        <w:rPr>
          <w:lang w:val="pl-PL"/>
        </w:rPr>
        <w:t xml:space="preserve"> (nr 16798/90), wyrok z 9 grudnia 1994 r.; </w:t>
      </w:r>
      <w:proofErr w:type="spellStart"/>
      <w:r w:rsidRPr="005625FD">
        <w:rPr>
          <w:i/>
          <w:lang w:val="pl-PL"/>
        </w:rPr>
        <w:t>Taşkin</w:t>
      </w:r>
      <w:proofErr w:type="spellEnd"/>
      <w:r w:rsidRPr="005625FD">
        <w:rPr>
          <w:i/>
          <w:lang w:val="pl-PL"/>
        </w:rPr>
        <w:t xml:space="preserve"> i inni p. Turcji</w:t>
      </w:r>
      <w:r w:rsidRPr="005625FD">
        <w:rPr>
          <w:lang w:val="pl-PL"/>
        </w:rPr>
        <w:t xml:space="preserve"> (nr 46117/99), wyrok z 10 grudnia 2004 r.; </w:t>
      </w:r>
      <w:proofErr w:type="spellStart"/>
      <w:r w:rsidRPr="005625FD">
        <w:rPr>
          <w:i/>
          <w:lang w:val="pl-PL"/>
        </w:rPr>
        <w:t>Fadeyeva</w:t>
      </w:r>
      <w:proofErr w:type="spellEnd"/>
      <w:r w:rsidRPr="005625FD">
        <w:rPr>
          <w:i/>
          <w:lang w:val="pl-PL"/>
        </w:rPr>
        <w:t xml:space="preserve"> p. Rosji</w:t>
      </w:r>
      <w:r w:rsidRPr="005625FD">
        <w:rPr>
          <w:lang w:val="pl-PL"/>
        </w:rPr>
        <w:t xml:space="preserve"> (nr 55723/00), wyrok z 9 czerwca 2005 r.; </w:t>
      </w:r>
      <w:r w:rsidRPr="005625FD">
        <w:rPr>
          <w:i/>
          <w:lang w:val="pl-PL"/>
        </w:rPr>
        <w:t>Tatar p. Rumunii</w:t>
      </w:r>
      <w:r w:rsidRPr="005625FD">
        <w:rPr>
          <w:lang w:val="pl-PL"/>
        </w:rPr>
        <w:t xml:space="preserve"> (nr 67021/01), wyrok z 27 stycznia 2009 r., para. 88; </w:t>
      </w:r>
      <w:proofErr w:type="spellStart"/>
      <w:r w:rsidRPr="005625FD">
        <w:rPr>
          <w:i/>
          <w:lang w:val="pl-PL"/>
        </w:rPr>
        <w:t>Vilnes</w:t>
      </w:r>
      <w:proofErr w:type="spellEnd"/>
      <w:r w:rsidRPr="005625FD">
        <w:rPr>
          <w:i/>
          <w:lang w:val="pl-PL"/>
        </w:rPr>
        <w:t xml:space="preserve"> i inni p. Norwegii</w:t>
      </w:r>
      <w:r w:rsidRPr="005625FD">
        <w:rPr>
          <w:lang w:val="pl-PL"/>
        </w:rPr>
        <w:t xml:space="preserve"> (nr 52806/09 i in.), wyrok z 5 grudnia 2013 r. (Wielka Izba).</w:t>
      </w:r>
    </w:p>
  </w:endnote>
  <w:endnote w:id="12">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w:t>
      </w:r>
      <w:proofErr w:type="spellStart"/>
      <w:r w:rsidRPr="005625FD">
        <w:rPr>
          <w:i/>
          <w:lang w:val="pl-PL"/>
        </w:rPr>
        <w:t>McCann</w:t>
      </w:r>
      <w:proofErr w:type="spellEnd"/>
      <w:r w:rsidRPr="005625FD">
        <w:rPr>
          <w:i/>
          <w:lang w:val="pl-PL"/>
        </w:rPr>
        <w:t xml:space="preserve"> i inni p. Wielkiej Brytanii</w:t>
      </w:r>
      <w:r w:rsidRPr="005625FD">
        <w:rPr>
          <w:lang w:val="pl-PL"/>
        </w:rPr>
        <w:t xml:space="preserve"> (nr 18984/91), wyrok 27 września 1995 r. (Wielka Izba), para. 161 (odnośnie do art. 2 Konwencji o ochronie praw człowieka i podstawowych wolności, dalej: EKPC); </w:t>
      </w:r>
      <w:proofErr w:type="spellStart"/>
      <w:r w:rsidRPr="005625FD">
        <w:rPr>
          <w:i/>
          <w:lang w:val="pl-PL"/>
        </w:rPr>
        <w:t>Assenov</w:t>
      </w:r>
      <w:proofErr w:type="spellEnd"/>
      <w:r w:rsidRPr="005625FD">
        <w:rPr>
          <w:i/>
          <w:lang w:val="pl-PL"/>
        </w:rPr>
        <w:t xml:space="preserve"> i inni p. Bułgarii</w:t>
      </w:r>
      <w:r w:rsidRPr="005625FD">
        <w:rPr>
          <w:lang w:val="pl-PL"/>
        </w:rPr>
        <w:t xml:space="preserve"> (nr 24760/94), wyrok z 28 października 1998 r., para. 102 (odnośnie do art. 3 EKPC); </w:t>
      </w:r>
      <w:proofErr w:type="spellStart"/>
      <w:r w:rsidRPr="005625FD">
        <w:rPr>
          <w:i/>
          <w:lang w:val="pl-PL"/>
        </w:rPr>
        <w:t>Rantsev</w:t>
      </w:r>
      <w:proofErr w:type="spellEnd"/>
      <w:r w:rsidRPr="005625FD">
        <w:rPr>
          <w:i/>
          <w:lang w:val="pl-PL"/>
        </w:rPr>
        <w:t xml:space="preserve"> p. Cyprowi i Rosji</w:t>
      </w:r>
      <w:r w:rsidRPr="005625FD">
        <w:rPr>
          <w:lang w:val="pl-PL"/>
        </w:rPr>
        <w:t xml:space="preserve"> (nr 25965/04), wyrok z 7 stycznia 2010 r., para. 288 (odnośnie do art. 4 EKPC); </w:t>
      </w:r>
      <w:proofErr w:type="spellStart"/>
      <w:r w:rsidRPr="005625FD">
        <w:rPr>
          <w:i/>
          <w:lang w:val="pl-PL"/>
        </w:rPr>
        <w:t>Orhan</w:t>
      </w:r>
      <w:proofErr w:type="spellEnd"/>
      <w:r w:rsidRPr="005625FD">
        <w:rPr>
          <w:i/>
          <w:lang w:val="pl-PL"/>
        </w:rPr>
        <w:t xml:space="preserve"> p. Turcji</w:t>
      </w:r>
      <w:r w:rsidRPr="005625FD">
        <w:rPr>
          <w:lang w:val="pl-PL"/>
        </w:rPr>
        <w:t xml:space="preserve"> (nr 25656/94), wyrok z 18 czerwca 2002 r., para. 369 (odnośnie do art. 5 EKPC); </w:t>
      </w:r>
      <w:r w:rsidRPr="005625FD">
        <w:rPr>
          <w:i/>
          <w:lang w:val="pl-PL"/>
        </w:rPr>
        <w:t>M.C. p. Bułgarii</w:t>
      </w:r>
      <w:r w:rsidRPr="005625FD">
        <w:rPr>
          <w:lang w:val="pl-PL"/>
        </w:rPr>
        <w:t xml:space="preserve"> (nr 39272/98), wyrok z 4 grudnia 2003 r., para. 153 (odnośnie do art. 8 EKPC w kontekście gwałtu).</w:t>
      </w:r>
    </w:p>
  </w:endnote>
  <w:endnote w:id="13">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Zob. ogólnie art. 5 ust. 5, art. 13 i art. 41 EKPC, jak również Zalecenia Komitetu Ministrów dla państw członkowskich w sprawie pomocy dla ofiar przestępstw z dnia 14 czerwca 2006 r., Podstawowe zasady i wytyczne ONZ dotyczące prawa do zadośćuczynienia i odszkodowania dla ofiar rażących naruszeń prawa międzynarodowego w zakresie praw człowieka i poważnych naruszeń międzynarodowego prawa humanitarnego z dnia 16 grudnia 2005 r. oraz Zbiór zasad ONZ dotyczący ochrony i promocji praw człowieka za pośrednictwem akcji zwalczania bezkarności z dnia 8 lutego 2005 r.</w:t>
      </w:r>
    </w:p>
  </w:endnote>
  <w:endnote w:id="14">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Zob. Konferencja wysokiego szczebla w sprawie Europejskiej Karty Społecznej (Turyn, 17–18 października 2014 r.), w tym sprawozdanie ogólne wiceprzewodniczącego Zgromadzenia Ogólnego </w:t>
      </w:r>
      <w:proofErr w:type="spellStart"/>
      <w:r w:rsidRPr="005625FD">
        <w:rPr>
          <w:lang w:val="pl-PL"/>
        </w:rPr>
        <w:t>Michele’a</w:t>
      </w:r>
      <w:proofErr w:type="spellEnd"/>
      <w:r w:rsidRPr="005625FD">
        <w:rPr>
          <w:lang w:val="pl-PL"/>
        </w:rPr>
        <w:t xml:space="preserve"> </w:t>
      </w:r>
      <w:proofErr w:type="spellStart"/>
      <w:r w:rsidRPr="005625FD">
        <w:rPr>
          <w:lang w:val="pl-PL"/>
        </w:rPr>
        <w:t>Nicolettiego</w:t>
      </w:r>
      <w:proofErr w:type="spellEnd"/>
      <w:r w:rsidRPr="005625FD">
        <w:rPr>
          <w:lang w:val="pl-PL"/>
        </w:rPr>
        <w:t>, str. 44 i nast..; Konferencja wysokiego szczebla w sprawie przyszłości ochrony praw socjalnych w Europie (Bruksela, 12–13 lutego 2015 r.), Brukselski dokument w sprawie przyszłości ochrony praw socjalnych w Europie, str. 1 i nast.; Stan demokracji, praw człowieka i rządów prawa w Europie, Raport Sekretarza Generalnego Rady Europy, Doc. SG(2015)1 z 29 kwietnia 2015 r., str. 41 i nast.; więcej informacji na: http://www.coe.int/en/web/portal/high-level-conference-esc-2014.</w:t>
      </w:r>
    </w:p>
  </w:endnote>
  <w:endnote w:id="15">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Zob. także Rezolucję Zgromadzenia Parlamentarnego 1757(2010) i Rekomendację 1936(2010) dotyczące praw człowieka i biznesu, obie przyjęte 6 października 2010 r.</w:t>
      </w:r>
    </w:p>
  </w:endnote>
  <w:endnote w:id="16">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Zob. B. </w:t>
      </w:r>
      <w:proofErr w:type="spellStart"/>
      <w:r w:rsidRPr="005625FD">
        <w:rPr>
          <w:lang w:val="pl-PL"/>
        </w:rPr>
        <w:t>Malkani</w:t>
      </w:r>
      <w:proofErr w:type="spellEnd"/>
      <w:r w:rsidRPr="005625FD">
        <w:rPr>
          <w:lang w:val="pl-PL"/>
        </w:rPr>
        <w:t>, Obowiązek powstrzymania się od wspierania wykonywania kary śmierci, Kwartalnik Prawa Międzynarodowego i Porównawczego 2013 r., str. 551–552.</w:t>
      </w:r>
    </w:p>
  </w:endnote>
  <w:endnote w:id="17">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Rozporządzenie Rady (WE) nr 2368/2002 z dnia 20 grudnia 2002 r. wprowadzający w życie system certyfikacji Procesu Kimberley dla handlu międzynarodowego surowcem diamentowym; oraz rozporządzenie Rady (WE) nr 428/2009 z dnia 5 maja 2009 r. ustanawiające wspólnotowy system kontroli wywozu, transferu, pośrednictwa i tranzytu w odniesieniu do produktów podwójnego zastosowania.</w:t>
      </w:r>
    </w:p>
  </w:endnote>
  <w:endnote w:id="18">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Zob. kluczową sprawę </w:t>
      </w:r>
      <w:proofErr w:type="spellStart"/>
      <w:r w:rsidRPr="005625FD">
        <w:rPr>
          <w:i/>
          <w:lang w:val="pl-PL"/>
        </w:rPr>
        <w:t>Golder</w:t>
      </w:r>
      <w:proofErr w:type="spellEnd"/>
      <w:r w:rsidRPr="005625FD">
        <w:rPr>
          <w:i/>
          <w:lang w:val="pl-PL"/>
        </w:rPr>
        <w:t xml:space="preserve"> p. Wielkiej Brytanii</w:t>
      </w:r>
      <w:r w:rsidRPr="005625FD">
        <w:rPr>
          <w:lang w:val="pl-PL"/>
        </w:rPr>
        <w:t xml:space="preserve"> (nr 4451/70), wyrok z 21 lutego 1975 r.</w:t>
      </w:r>
    </w:p>
  </w:endnote>
  <w:endnote w:id="19">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Zob. </w:t>
      </w:r>
      <w:proofErr w:type="spellStart"/>
      <w:r w:rsidRPr="005625FD">
        <w:rPr>
          <w:i/>
          <w:lang w:val="pl-PL"/>
        </w:rPr>
        <w:t>Rékási</w:t>
      </w:r>
      <w:proofErr w:type="spellEnd"/>
      <w:r w:rsidRPr="005625FD">
        <w:rPr>
          <w:i/>
          <w:lang w:val="pl-PL"/>
        </w:rPr>
        <w:t xml:space="preserve"> p. Węgrom</w:t>
      </w:r>
      <w:r w:rsidRPr="005625FD">
        <w:rPr>
          <w:lang w:val="pl-PL"/>
        </w:rPr>
        <w:t xml:space="preserve"> (nr 31506/96), decyzja Komisji z 25 listopada 1996 r., D/R 87 A, str. 171. Prawo dostępu do sądu na mocy art. 6 EKPC może jednak znaleźć zastosowanie w odniesieniu do osoby trzeciej w postępowaniu karnym, jeśli wynik tego postępowania jest decydujący dla roszczeń cywilnych osoby trzeciej, na przykład dotyczących roszczeń odszkodowawczych dochodzonych przez ofiarę przestępstwa karnego (zob. </w:t>
      </w:r>
      <w:r w:rsidRPr="005625FD">
        <w:rPr>
          <w:i/>
          <w:lang w:val="pl-PL"/>
        </w:rPr>
        <w:t>Tomasi p. Francji</w:t>
      </w:r>
      <w:r w:rsidRPr="005625FD">
        <w:rPr>
          <w:lang w:val="pl-PL"/>
        </w:rPr>
        <w:t>, nr 12850/87, wyrok z 27 sierpnia 1992 r., Seria A 241-A, para. 121).</w:t>
      </w:r>
    </w:p>
  </w:endnote>
  <w:endnote w:id="20">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Zob. C. </w:t>
      </w:r>
      <w:proofErr w:type="spellStart"/>
      <w:r w:rsidRPr="005625FD">
        <w:rPr>
          <w:lang w:val="pl-PL"/>
        </w:rPr>
        <w:t>Grabenwarter</w:t>
      </w:r>
      <w:proofErr w:type="spellEnd"/>
      <w:r w:rsidRPr="005625FD">
        <w:rPr>
          <w:lang w:val="pl-PL"/>
        </w:rPr>
        <w:t xml:space="preserve">, Europejska Konwencja Praw Człowieka – Komentarz, </w:t>
      </w:r>
      <w:proofErr w:type="spellStart"/>
      <w:r w:rsidRPr="005625FD">
        <w:rPr>
          <w:lang w:val="pl-PL"/>
        </w:rPr>
        <w:t>München</w:t>
      </w:r>
      <w:proofErr w:type="spellEnd"/>
      <w:r w:rsidRPr="005625FD">
        <w:rPr>
          <w:lang w:val="pl-PL"/>
        </w:rPr>
        <w:t>/Oxford/Baden-Baden 2014, str. 338–339.</w:t>
      </w:r>
    </w:p>
  </w:endnote>
  <w:endnote w:id="21">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w:t>
      </w:r>
      <w:r w:rsidRPr="005625FD">
        <w:rPr>
          <w:i/>
          <w:lang w:val="pl-PL"/>
        </w:rPr>
        <w:t xml:space="preserve">Andrew </w:t>
      </w:r>
      <w:proofErr w:type="spellStart"/>
      <w:r w:rsidRPr="005625FD">
        <w:rPr>
          <w:i/>
          <w:lang w:val="pl-PL"/>
        </w:rPr>
        <w:t>Owusu</w:t>
      </w:r>
      <w:proofErr w:type="spellEnd"/>
      <w:r w:rsidRPr="005625FD">
        <w:rPr>
          <w:i/>
          <w:lang w:val="pl-PL"/>
        </w:rPr>
        <w:t xml:space="preserve"> p. N.B. Jackson</w:t>
      </w:r>
      <w:r w:rsidRPr="005625FD">
        <w:rPr>
          <w:lang w:val="pl-PL"/>
        </w:rPr>
        <w:t>, wyrok z 1 marca 2005 r., C-281/02.</w:t>
      </w:r>
    </w:p>
  </w:endnote>
  <w:endnote w:id="22">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Skinner/</w:t>
      </w:r>
      <w:proofErr w:type="spellStart"/>
      <w:r w:rsidRPr="005625FD">
        <w:rPr>
          <w:lang w:val="pl-PL"/>
        </w:rPr>
        <w:t>McCorquodale</w:t>
      </w:r>
      <w:proofErr w:type="spellEnd"/>
      <w:r w:rsidRPr="005625FD">
        <w:rPr>
          <w:lang w:val="pl-PL"/>
        </w:rPr>
        <w:t xml:space="preserve">/De </w:t>
      </w:r>
      <w:proofErr w:type="spellStart"/>
      <w:r w:rsidRPr="005625FD">
        <w:rPr>
          <w:lang w:val="pl-PL"/>
        </w:rPr>
        <w:t>Schutter</w:t>
      </w:r>
      <w:proofErr w:type="spellEnd"/>
      <w:r w:rsidRPr="005625FD">
        <w:rPr>
          <w:lang w:val="pl-PL"/>
        </w:rPr>
        <w:t>, Trzeci filar – dostęp do środków sądowych w przypadku naruszenia praw człowieka przez ponadnarodowe przedsiębiorstwa, str. 57.</w:t>
      </w:r>
    </w:p>
  </w:endnote>
  <w:endnote w:id="23">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Więcej informacji zob. Skinner/</w:t>
      </w:r>
      <w:proofErr w:type="spellStart"/>
      <w:r w:rsidRPr="005625FD">
        <w:rPr>
          <w:lang w:val="pl-PL"/>
        </w:rPr>
        <w:t>McCorquodale</w:t>
      </w:r>
      <w:proofErr w:type="spellEnd"/>
      <w:r w:rsidRPr="005625FD">
        <w:rPr>
          <w:lang w:val="pl-PL"/>
        </w:rPr>
        <w:t xml:space="preserve">/De </w:t>
      </w:r>
      <w:proofErr w:type="spellStart"/>
      <w:r w:rsidRPr="005625FD">
        <w:rPr>
          <w:lang w:val="pl-PL"/>
        </w:rPr>
        <w:t>Schutter</w:t>
      </w:r>
      <w:proofErr w:type="spellEnd"/>
      <w:r w:rsidRPr="005625FD">
        <w:rPr>
          <w:lang w:val="pl-PL"/>
        </w:rPr>
        <w:t>, Trzeci filar – dostęp do środków sądowych w przypadku naruszenia praw człowieka przez ponadnarodowe przedsiębiorstwa, str. 31.</w:t>
      </w:r>
    </w:p>
  </w:endnote>
  <w:endnote w:id="24">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Europejski Trybunał Praw Człowieka, </w:t>
      </w:r>
      <w:r w:rsidRPr="005625FD">
        <w:rPr>
          <w:i/>
          <w:lang w:val="pl-PL"/>
        </w:rPr>
        <w:t>Al-</w:t>
      </w:r>
      <w:proofErr w:type="spellStart"/>
      <w:r w:rsidRPr="005625FD">
        <w:rPr>
          <w:i/>
          <w:lang w:val="pl-PL"/>
        </w:rPr>
        <w:t>Adsani</w:t>
      </w:r>
      <w:proofErr w:type="spellEnd"/>
      <w:r w:rsidRPr="005625FD">
        <w:rPr>
          <w:i/>
          <w:lang w:val="pl-PL"/>
        </w:rPr>
        <w:t xml:space="preserve"> p. Wielkiej Brytanii</w:t>
      </w:r>
      <w:r w:rsidRPr="005625FD">
        <w:rPr>
          <w:lang w:val="pl-PL"/>
        </w:rPr>
        <w:t xml:space="preserve"> [Wielka Izba], nr 31253/96, wyrok z 21 listopada 2001 r.; Międzynarodowy Trybunał Sprawiedliwości, jurysdykcyjne immunitety państwa (</w:t>
      </w:r>
      <w:r w:rsidRPr="005625FD">
        <w:rPr>
          <w:i/>
          <w:lang w:val="pl-PL"/>
        </w:rPr>
        <w:t>Niemcy p. Włochom</w:t>
      </w:r>
      <w:r w:rsidRPr="005625FD">
        <w:rPr>
          <w:lang w:val="pl-PL"/>
        </w:rPr>
        <w:t xml:space="preserve">: interwencja Grecji), wyrok z 3 lutego 2012 r., ICJ </w:t>
      </w:r>
      <w:proofErr w:type="spellStart"/>
      <w:r w:rsidRPr="005625FD">
        <w:rPr>
          <w:lang w:val="pl-PL"/>
        </w:rPr>
        <w:t>Reports</w:t>
      </w:r>
      <w:proofErr w:type="spellEnd"/>
      <w:r w:rsidRPr="005625FD">
        <w:rPr>
          <w:lang w:val="pl-PL"/>
        </w:rPr>
        <w:t xml:space="preserve"> 2012, str. 99.</w:t>
      </w:r>
    </w:p>
  </w:endnote>
  <w:endnote w:id="25">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Odnośnie do wyroku Europejskiego Trybunału Praw Człowieka dotyczącego art. 6 EKPC oraz doktryny „aktu władzy publicznej” zob. sprawę </w:t>
      </w:r>
      <w:proofErr w:type="spellStart"/>
      <w:r w:rsidRPr="005625FD">
        <w:rPr>
          <w:i/>
          <w:lang w:val="pl-PL"/>
        </w:rPr>
        <w:t>Markovic</w:t>
      </w:r>
      <w:proofErr w:type="spellEnd"/>
      <w:r w:rsidRPr="005625FD">
        <w:rPr>
          <w:i/>
          <w:lang w:val="pl-PL"/>
        </w:rPr>
        <w:t xml:space="preserve"> i inni p. Włochom</w:t>
      </w:r>
      <w:r w:rsidRPr="005625FD">
        <w:rPr>
          <w:lang w:val="pl-PL"/>
        </w:rPr>
        <w:t xml:space="preserve"> [Wielka Izba] (nr 1398/03), wyrok z 14 grudnia 2006 r.</w:t>
      </w:r>
    </w:p>
  </w:endnote>
  <w:endnote w:id="26">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Zob. na przykład sprawa </w:t>
      </w:r>
      <w:r w:rsidRPr="005625FD">
        <w:rPr>
          <w:i/>
          <w:lang w:val="pl-PL"/>
        </w:rPr>
        <w:t xml:space="preserve">Oppenheimer p. </w:t>
      </w:r>
      <w:proofErr w:type="spellStart"/>
      <w:r w:rsidRPr="005625FD">
        <w:rPr>
          <w:i/>
          <w:lang w:val="pl-PL"/>
        </w:rPr>
        <w:t>Cattermole</w:t>
      </w:r>
      <w:proofErr w:type="spellEnd"/>
      <w:r w:rsidRPr="005625FD">
        <w:rPr>
          <w:lang w:val="pl-PL"/>
        </w:rPr>
        <w:t xml:space="preserve"> [1976] AC 249 str. 277–8 (Lord Cross) dotycząca prawa systemu nazistowskiego oraz sprawa </w:t>
      </w:r>
      <w:proofErr w:type="spellStart"/>
      <w:r w:rsidRPr="005625FD">
        <w:rPr>
          <w:i/>
          <w:lang w:val="pl-PL"/>
        </w:rPr>
        <w:t>Kuwait</w:t>
      </w:r>
      <w:proofErr w:type="spellEnd"/>
      <w:r w:rsidRPr="005625FD">
        <w:rPr>
          <w:i/>
          <w:lang w:val="pl-PL"/>
        </w:rPr>
        <w:t xml:space="preserve"> Airways </w:t>
      </w:r>
      <w:proofErr w:type="spellStart"/>
      <w:r w:rsidRPr="005625FD">
        <w:rPr>
          <w:i/>
          <w:lang w:val="pl-PL"/>
        </w:rPr>
        <w:t>Corporation</w:t>
      </w:r>
      <w:proofErr w:type="spellEnd"/>
      <w:r w:rsidRPr="005625FD">
        <w:rPr>
          <w:i/>
          <w:lang w:val="pl-PL"/>
        </w:rPr>
        <w:t xml:space="preserve"> p. </w:t>
      </w:r>
      <w:proofErr w:type="spellStart"/>
      <w:r w:rsidRPr="005625FD">
        <w:rPr>
          <w:i/>
          <w:lang w:val="pl-PL"/>
        </w:rPr>
        <w:t>Iraqi</w:t>
      </w:r>
      <w:proofErr w:type="spellEnd"/>
      <w:r w:rsidRPr="005625FD">
        <w:rPr>
          <w:i/>
          <w:lang w:val="pl-PL"/>
        </w:rPr>
        <w:t xml:space="preserve"> Airlines Co</w:t>
      </w:r>
      <w:r w:rsidRPr="005625FD">
        <w:rPr>
          <w:lang w:val="pl-PL"/>
        </w:rPr>
        <w:t xml:space="preserve"> [2002] 1 </w:t>
      </w:r>
      <w:proofErr w:type="spellStart"/>
      <w:r w:rsidRPr="005625FD">
        <w:rPr>
          <w:lang w:val="pl-PL"/>
        </w:rPr>
        <w:t>All</w:t>
      </w:r>
      <w:proofErr w:type="spellEnd"/>
      <w:r w:rsidRPr="005625FD">
        <w:rPr>
          <w:lang w:val="pl-PL"/>
        </w:rPr>
        <w:t xml:space="preserve"> ER 843 dotycząca irackiego dekretu niezgodnego z prawem międzynarodowym. Zob. także brytyjska Ustawa z 1984 r. </w:t>
      </w:r>
      <w:proofErr w:type="spellStart"/>
      <w:r w:rsidRPr="005625FD">
        <w:rPr>
          <w:lang w:val="pl-PL"/>
        </w:rPr>
        <w:t>ws</w:t>
      </w:r>
      <w:proofErr w:type="spellEnd"/>
      <w:r w:rsidRPr="005625FD">
        <w:rPr>
          <w:lang w:val="pl-PL"/>
        </w:rPr>
        <w:t xml:space="preserve">. zagranicznych okresów przedawnień (oryg. </w:t>
      </w:r>
      <w:proofErr w:type="spellStart"/>
      <w:r w:rsidRPr="005625FD">
        <w:rPr>
          <w:i/>
          <w:lang w:val="pl-PL"/>
        </w:rPr>
        <w:t>Foreign</w:t>
      </w:r>
      <w:proofErr w:type="spellEnd"/>
      <w:r w:rsidRPr="005625FD">
        <w:rPr>
          <w:i/>
          <w:lang w:val="pl-PL"/>
        </w:rPr>
        <w:t xml:space="preserve"> </w:t>
      </w:r>
      <w:proofErr w:type="spellStart"/>
      <w:r w:rsidRPr="005625FD">
        <w:rPr>
          <w:i/>
          <w:lang w:val="pl-PL"/>
        </w:rPr>
        <w:t>Limitation</w:t>
      </w:r>
      <w:proofErr w:type="spellEnd"/>
      <w:r w:rsidRPr="005625FD">
        <w:rPr>
          <w:i/>
          <w:lang w:val="pl-PL"/>
        </w:rPr>
        <w:t xml:space="preserve"> </w:t>
      </w:r>
      <w:proofErr w:type="spellStart"/>
      <w:r w:rsidRPr="005625FD">
        <w:rPr>
          <w:i/>
          <w:lang w:val="pl-PL"/>
        </w:rPr>
        <w:t>Periods</w:t>
      </w:r>
      <w:proofErr w:type="spellEnd"/>
      <w:r w:rsidRPr="005625FD">
        <w:rPr>
          <w:i/>
          <w:lang w:val="pl-PL"/>
        </w:rPr>
        <w:t xml:space="preserve"> </w:t>
      </w:r>
      <w:proofErr w:type="spellStart"/>
      <w:r w:rsidRPr="005625FD">
        <w:rPr>
          <w:i/>
          <w:lang w:val="pl-PL"/>
        </w:rPr>
        <w:t>Act</w:t>
      </w:r>
      <w:proofErr w:type="spellEnd"/>
      <w:r w:rsidRPr="005625FD">
        <w:rPr>
          <w:i/>
          <w:lang w:val="pl-PL"/>
        </w:rPr>
        <w:t xml:space="preserve"> 1984</w:t>
      </w:r>
      <w:r w:rsidRPr="005625FD">
        <w:rPr>
          <w:lang w:val="pl-PL"/>
        </w:rPr>
        <w:t>), która umożliwia sądom nie uwzględniać zagranicznych okresów przedawnienia, jeżeli ich stosowanie byłoby „sprzeczne z porządkiem publicznym do tego stopnia, że jego zastosowanie powodowałoby nadmierne trudności" dla strony lub potencjalnej strony.</w:t>
      </w:r>
    </w:p>
  </w:endnote>
  <w:endnote w:id="27">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w:t>
      </w:r>
      <w:r w:rsidRPr="005625FD">
        <w:rPr>
          <w:i/>
          <w:lang w:val="pl-PL"/>
        </w:rPr>
        <w:t>Steel i Morris p. Wielkiej Brytanii</w:t>
      </w:r>
      <w:r w:rsidRPr="005625FD">
        <w:rPr>
          <w:lang w:val="pl-PL"/>
        </w:rPr>
        <w:t xml:space="preserve"> (nr 68416/01), wyrok z 15 maja 2005 r., para. 62.</w:t>
      </w:r>
    </w:p>
  </w:endnote>
  <w:endnote w:id="28">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Ibid.</w:t>
      </w:r>
    </w:p>
  </w:endnote>
  <w:endnote w:id="29">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Zob. przegląd różnych sytuacji prawnych w FIDH, Odpowiedzialność przedsiębiorstw za naruszenia praw człowieka – Przewodnik dla ofiar i organizacji pozarządowych w zakresie ochrony prawnej, marzec 2012 r., str. 276 i nast.</w:t>
      </w:r>
    </w:p>
  </w:endnote>
  <w:endnote w:id="30">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w:t>
      </w:r>
      <w:proofErr w:type="spellStart"/>
      <w:r w:rsidRPr="005625FD">
        <w:rPr>
          <w:i/>
          <w:lang w:val="pl-PL"/>
        </w:rPr>
        <w:t>Rantsev</w:t>
      </w:r>
      <w:proofErr w:type="spellEnd"/>
      <w:r w:rsidRPr="005625FD">
        <w:rPr>
          <w:i/>
          <w:lang w:val="pl-PL"/>
        </w:rPr>
        <w:t xml:space="preserve"> p. Cyprowi i Rosji</w:t>
      </w:r>
      <w:r w:rsidRPr="005625FD">
        <w:rPr>
          <w:lang w:val="pl-PL"/>
        </w:rPr>
        <w:t xml:space="preserve"> (nr 25965/04), wyrok z 7 stycznia 2010 r.</w:t>
      </w:r>
    </w:p>
  </w:endnote>
  <w:endnote w:id="31">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w:t>
      </w:r>
      <w:proofErr w:type="spellStart"/>
      <w:r w:rsidRPr="005625FD">
        <w:rPr>
          <w:i/>
          <w:lang w:val="pl-PL"/>
        </w:rPr>
        <w:t>Siliadin</w:t>
      </w:r>
      <w:proofErr w:type="spellEnd"/>
      <w:r w:rsidRPr="005625FD">
        <w:rPr>
          <w:i/>
          <w:lang w:val="pl-PL"/>
        </w:rPr>
        <w:t xml:space="preserve"> p. Francji</w:t>
      </w:r>
      <w:r w:rsidRPr="005625FD">
        <w:rPr>
          <w:lang w:val="pl-PL"/>
        </w:rPr>
        <w:t xml:space="preserve"> (nr 73316/01), wyrok z 26 lipca 2005 r.; </w:t>
      </w:r>
      <w:r w:rsidRPr="005625FD">
        <w:rPr>
          <w:i/>
          <w:lang w:val="pl-PL"/>
        </w:rPr>
        <w:t>C.N. p. Wielkiej Brytanii</w:t>
      </w:r>
      <w:r w:rsidRPr="005625FD">
        <w:rPr>
          <w:lang w:val="pl-PL"/>
        </w:rPr>
        <w:t xml:space="preserve"> (nr 4239/08), wyrok z 13 listopada 2012 r.</w:t>
      </w:r>
    </w:p>
  </w:endnote>
  <w:endnote w:id="32">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Raport wyjaśniający do Konwencji stanowi, że: „Sektor podróżniczy i turystyki został włączony w szczególności w celu zmierzenia się ze zjawiskiem tzw. „dziecięcej turystyki seksualnej". Na przykład w niektórych państwach członkowskich linie i porty lotnicze kierują do pasażerów audiowizualne komunikaty zapobiegawcze prezentujące konsekwencje karne, na jakie narażeni są sprawcy przestępstw seksualnych popełnionych za granicą. (...) Uwzględnienie sektora finansowego i bankowego jest bardzo ważne ze względu na instytucje finansowe, które we współpracy z organami ścigania mogą przeszkodzić w funkcjonowaniu mechanizmów finansowych obsługujących strony internetowe przedstawiające seksualne wykorzystywanie dzieci w systemie </w:t>
      </w:r>
      <w:proofErr w:type="spellStart"/>
      <w:r w:rsidRPr="005625FD">
        <w:rPr>
          <w:i/>
          <w:lang w:val="pl-PL"/>
        </w:rPr>
        <w:t>pay</w:t>
      </w:r>
      <w:proofErr w:type="spellEnd"/>
      <w:r w:rsidRPr="005625FD">
        <w:rPr>
          <w:i/>
          <w:lang w:val="pl-PL"/>
        </w:rPr>
        <w:t>-per-</w:t>
      </w:r>
      <w:proofErr w:type="spellStart"/>
      <w:r w:rsidRPr="005625FD">
        <w:rPr>
          <w:i/>
          <w:lang w:val="pl-PL"/>
        </w:rPr>
        <w:t>view</w:t>
      </w:r>
      <w:proofErr w:type="spellEnd"/>
      <w:r w:rsidRPr="005625FD">
        <w:rPr>
          <w:lang w:val="pl-PL"/>
        </w:rPr>
        <w:t xml:space="preserve"> i przyczynić się do ich likwidacji” (Raport wyjaśniający do Konwencji o ochronie dzieci przed seksualnym wykorzystywaniem i niegodziwym traktowaniem w celach seksualnych, para. 70–71).</w:t>
      </w:r>
    </w:p>
  </w:endnote>
  <w:endnote w:id="33">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Zob. na przykład art. 5 („Odpowiedzialność osób prawnych”) Dyrektywy 2011/36/UE Parlamentu Europejskiego i Rady w sprawie zapobiegania handlowi ludźmi i zwalczania tego procederu oraz ochrony ofiar, 5 kwietnia 2011 r.</w:t>
      </w:r>
    </w:p>
  </w:endnote>
  <w:endnote w:id="34">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w:t>
      </w:r>
      <w:proofErr w:type="spellStart"/>
      <w:r w:rsidRPr="005625FD">
        <w:rPr>
          <w:i/>
          <w:lang w:val="pl-PL"/>
        </w:rPr>
        <w:t>Ramsahai</w:t>
      </w:r>
      <w:proofErr w:type="spellEnd"/>
      <w:r w:rsidRPr="005625FD">
        <w:rPr>
          <w:i/>
          <w:lang w:val="pl-PL"/>
        </w:rPr>
        <w:t xml:space="preserve"> i inni p. Holandii</w:t>
      </w:r>
      <w:r w:rsidRPr="005625FD">
        <w:rPr>
          <w:lang w:val="pl-PL"/>
        </w:rPr>
        <w:t xml:space="preserve"> (nr 24746/94), wyrok z 15 maja 2007 r. [Wielka Izba], para. 324.</w:t>
      </w:r>
    </w:p>
  </w:endnote>
  <w:endnote w:id="35">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w:t>
      </w:r>
      <w:r w:rsidRPr="005625FD">
        <w:rPr>
          <w:i/>
          <w:lang w:val="pl-PL"/>
        </w:rPr>
        <w:t>Hugh Jordan p. Wielkiej Brytanii</w:t>
      </w:r>
      <w:r w:rsidRPr="005625FD">
        <w:rPr>
          <w:lang w:val="pl-PL"/>
        </w:rPr>
        <w:t xml:space="preserve"> (nr 24746/94), wyrok z 4 maja 2001 r., para. 107.</w:t>
      </w:r>
    </w:p>
  </w:endnote>
  <w:endnote w:id="36">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w:t>
      </w:r>
      <w:proofErr w:type="spellStart"/>
      <w:r w:rsidRPr="005625FD">
        <w:rPr>
          <w:i/>
          <w:lang w:val="pl-PL"/>
        </w:rPr>
        <w:t>Nachova</w:t>
      </w:r>
      <w:proofErr w:type="spellEnd"/>
      <w:r w:rsidRPr="005625FD">
        <w:rPr>
          <w:i/>
          <w:lang w:val="pl-PL"/>
        </w:rPr>
        <w:t xml:space="preserve"> i inni p. Bułgarii</w:t>
      </w:r>
      <w:r w:rsidRPr="005625FD">
        <w:rPr>
          <w:lang w:val="pl-PL"/>
        </w:rPr>
        <w:t xml:space="preserve"> (nr 43577/98 i 43579/98), wyrok z 6 lipca 2005 r. [Wielka Izba], para. 112.</w:t>
      </w:r>
    </w:p>
  </w:endnote>
  <w:endnote w:id="37">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w:t>
      </w:r>
      <w:proofErr w:type="spellStart"/>
      <w:r w:rsidRPr="005625FD">
        <w:rPr>
          <w:i/>
          <w:lang w:val="pl-PL"/>
        </w:rPr>
        <w:t>Kukayev</w:t>
      </w:r>
      <w:proofErr w:type="spellEnd"/>
      <w:r w:rsidRPr="005625FD">
        <w:rPr>
          <w:i/>
          <w:lang w:val="pl-PL"/>
        </w:rPr>
        <w:t xml:space="preserve"> p. Rosji</w:t>
      </w:r>
      <w:r w:rsidRPr="005625FD">
        <w:rPr>
          <w:lang w:val="pl-PL"/>
        </w:rPr>
        <w:t xml:space="preserve"> (nr 29361/02), wyrok z 15 listopada 2007 r., para. 95.</w:t>
      </w:r>
    </w:p>
  </w:endnote>
  <w:endnote w:id="38">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w:t>
      </w:r>
      <w:proofErr w:type="spellStart"/>
      <w:r w:rsidRPr="005625FD">
        <w:rPr>
          <w:i/>
          <w:lang w:val="pl-PL"/>
        </w:rPr>
        <w:t>McKerr</w:t>
      </w:r>
      <w:proofErr w:type="spellEnd"/>
      <w:r w:rsidRPr="005625FD">
        <w:rPr>
          <w:i/>
          <w:lang w:val="pl-PL"/>
        </w:rPr>
        <w:t xml:space="preserve"> p. Wielkiej Brytanii</w:t>
      </w:r>
      <w:r w:rsidRPr="005625FD">
        <w:rPr>
          <w:lang w:val="pl-PL"/>
        </w:rPr>
        <w:t xml:space="preserve"> (nr. 28883/95), wyrok z 4 maja 2001 r., para. 115.</w:t>
      </w:r>
    </w:p>
  </w:endnote>
  <w:endnote w:id="39">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Przyjęta i ogłoszona przez Zgromadzenie Ogólne rezolucja 60/147 z 16 grudnia 2005 r.</w:t>
      </w:r>
    </w:p>
  </w:endnote>
  <w:endnote w:id="40">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Więcej informacji dotyczących kryteriów zob. zasada 31 Wytycznych ONZ i komentarz do niej.</w:t>
      </w:r>
    </w:p>
  </w:endnote>
  <w:endnote w:id="41">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Zob. litera (h) komentarza do zasady 31 Wytycznych ONZ. </w:t>
      </w:r>
    </w:p>
  </w:endnote>
  <w:endnote w:id="42">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w:t>
      </w:r>
      <w:proofErr w:type="spellStart"/>
      <w:r w:rsidRPr="005625FD">
        <w:rPr>
          <w:i/>
          <w:lang w:val="pl-PL"/>
        </w:rPr>
        <w:t>Rantsev</w:t>
      </w:r>
      <w:proofErr w:type="spellEnd"/>
      <w:r w:rsidRPr="005625FD">
        <w:rPr>
          <w:i/>
          <w:lang w:val="pl-PL"/>
        </w:rPr>
        <w:t xml:space="preserve"> p. Cyprowi i Rosji</w:t>
      </w:r>
      <w:r w:rsidRPr="005625FD">
        <w:rPr>
          <w:lang w:val="pl-PL"/>
        </w:rPr>
        <w:t xml:space="preserve"> (nr 25965/04), wyrok z 7 stycznia 2010 r., para. 289.</w:t>
      </w:r>
    </w:p>
  </w:endnote>
  <w:endnote w:id="43">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w:t>
      </w:r>
      <w:proofErr w:type="spellStart"/>
      <w:r w:rsidRPr="005625FD">
        <w:rPr>
          <w:i/>
          <w:lang w:val="pl-PL"/>
        </w:rPr>
        <w:t>Halford</w:t>
      </w:r>
      <w:proofErr w:type="spellEnd"/>
      <w:r w:rsidRPr="005625FD">
        <w:rPr>
          <w:i/>
          <w:lang w:val="pl-PL"/>
        </w:rPr>
        <w:t xml:space="preserve"> p. Wielkiej Brytanii</w:t>
      </w:r>
      <w:r w:rsidRPr="005625FD">
        <w:rPr>
          <w:lang w:val="pl-PL"/>
        </w:rPr>
        <w:t xml:space="preserve"> (nr 20605/92), wyrok z 25 czerwca 1997 r.</w:t>
      </w:r>
    </w:p>
  </w:endnote>
  <w:endnote w:id="44">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w:t>
      </w:r>
      <w:proofErr w:type="spellStart"/>
      <w:r w:rsidRPr="005625FD">
        <w:rPr>
          <w:i/>
          <w:lang w:val="pl-PL"/>
        </w:rPr>
        <w:t>Brincat</w:t>
      </w:r>
      <w:proofErr w:type="spellEnd"/>
      <w:r w:rsidRPr="005625FD">
        <w:rPr>
          <w:i/>
          <w:lang w:val="pl-PL"/>
        </w:rPr>
        <w:t xml:space="preserve"> i inni p. Malcie</w:t>
      </w:r>
      <w:r w:rsidRPr="005625FD">
        <w:rPr>
          <w:lang w:val="pl-PL"/>
        </w:rPr>
        <w:t xml:space="preserve"> (nr 60908/11), wyrok z 24 lipca 2014 r.</w:t>
      </w:r>
    </w:p>
  </w:endnote>
  <w:endnote w:id="45">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w:t>
      </w:r>
      <w:proofErr w:type="spellStart"/>
      <w:r w:rsidRPr="005625FD">
        <w:rPr>
          <w:i/>
          <w:lang w:val="pl-PL"/>
        </w:rPr>
        <w:t>Siliadin</w:t>
      </w:r>
      <w:proofErr w:type="spellEnd"/>
      <w:r w:rsidRPr="005625FD">
        <w:rPr>
          <w:i/>
          <w:lang w:val="pl-PL"/>
        </w:rPr>
        <w:t xml:space="preserve"> p. Francji</w:t>
      </w:r>
      <w:r w:rsidRPr="005625FD">
        <w:rPr>
          <w:lang w:val="pl-PL"/>
        </w:rPr>
        <w:t xml:space="preserve"> (nr 73316/01), wyrok z 26 lipca 2005 r.</w:t>
      </w:r>
    </w:p>
  </w:endnote>
  <w:endnote w:id="46">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Zob. Sprawozdanie Grupy Roboczej ds. Praw Człowieka, Korporacji Ponadnarodowych i Innych Przedsiębiorstw z dnia 6 sierpnia 2013 r. (A/68/279). W sprawozdaniu tym zbadano wyzwania związane z negatywnym wpływem, jaki działalność przedsiębiorstw może wywierać na prawa ludności rdzennej z punktu widzenia Wytycznych ONZ.</w:t>
      </w:r>
    </w:p>
  </w:endnote>
  <w:endnote w:id="47">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Paragraf 67 Rekomendacji odnosi się do pojęcia „ziemi", którego nie należy zawężać do formalnej własności, lecz raczej rozumieć w znaczeniu art. 32 ust. 2 Deklaracji ONZ o prawach ludności rdzennej z dnia 13 września 2007 r. („wpływających na ich ziemie lub terytoria lub inne zasoby, szczególnie w związku z rozwojem, użytkowaniem lub eksploatacją kopalin, wody lub innych zasobów").</w:t>
      </w:r>
    </w:p>
  </w:endnote>
  <w:endnote w:id="48">
    <w:p w:rsidR="00263549" w:rsidRPr="005625FD" w:rsidRDefault="00263549" w:rsidP="00591EC1">
      <w:pPr>
        <w:pStyle w:val="Tekstprzypisukocowego"/>
        <w:spacing w:line="276" w:lineRule="auto"/>
        <w:jc w:val="both"/>
        <w:rPr>
          <w:lang w:val="en-US"/>
        </w:rPr>
      </w:pPr>
      <w:r w:rsidRPr="005625FD">
        <w:rPr>
          <w:rStyle w:val="Odwoanieprzypisukocowego"/>
        </w:rPr>
        <w:endnoteRef/>
      </w:r>
      <w:r w:rsidRPr="005625FD">
        <w:t xml:space="preserve"> A/HRC/24/41; A/HRC/FBHR/2012/CRP.1</w:t>
      </w:r>
    </w:p>
  </w:endnote>
  <w:endnote w:id="49">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Zob. na przykład Komitet Praw Gospodarczych, Społecznych i Kulturalnych ONZ (CESCR): komentarz ogólny nr 7 (1997): „prawo do odpowiednich warunków mieszkaniowych: eksmisje” (E/1998/22, aneks IV), para. 10; komentarz ogólny nr 15 (2002) „prawo do wody” (E/C.12/2002/11), para. 7 i 16; jak również Komitet Praw Dziecka ONZ (CRC): komentarz ogólny nr 11 (2009): „dzieci rdzennej ludności i ich prawa wynikające z Konwencji” (CRC/C/GC/11 (2009)), para. 16; komentarz ogólny nr 16 (2013): „obowiązki państwa w zakresie oddziaływania sektora biznesu i praw dzieci” oraz Komitet do spraw Likwidacji Dyskryminacji Rasowej ONZ (CERD): rekomendacja ogólna nr 23 (1997): „rdzenna ludność”.</w:t>
      </w:r>
    </w:p>
  </w:endnote>
  <w:endnote w:id="50">
    <w:p w:rsidR="00263549" w:rsidRPr="005625FD" w:rsidRDefault="00263549" w:rsidP="00591EC1">
      <w:pPr>
        <w:pStyle w:val="Tekstprzypisukocowego"/>
        <w:spacing w:line="276" w:lineRule="auto"/>
        <w:jc w:val="both"/>
        <w:rPr>
          <w:lang w:val="en-US"/>
        </w:rPr>
      </w:pPr>
      <w:r w:rsidRPr="005625FD">
        <w:rPr>
          <w:rStyle w:val="Odwoanieprzypisukocowego"/>
        </w:rPr>
        <w:endnoteRef/>
      </w:r>
      <w:r w:rsidRPr="005625FD">
        <w:t xml:space="preserve"> A/HRC/EMRIP/2012/CRP.1; A/HRC/21/55.</w:t>
      </w:r>
    </w:p>
  </w:endnote>
  <w:endnote w:id="51">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Zgromadzenie Parlamentarne wezwało także państwa członkowskie do położenia kresu wszelkim administracyjnym, podatkowym i sądowym szykanom wobec obrońców praw człowieka, a także do ukrócenia bezkarności sprawców naruszeń przeciwko nim. W związku z tym organy Rady Europy również wielokrotnie podkreślały potrzebę ścisłej współpracy z innymi organizacjami i instytucjami międzynarodowymi, zwłaszcza ze specjalnym sprawozdawcą ONZ ds. obrońców praw człowieka.</w:t>
      </w:r>
    </w:p>
  </w:endnote>
  <w:endnote w:id="52">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Deklaracja Komitetu Ministrów dotycząca ochrony wolności wypowiedzi oraz wolności zgromadzeń i zrzeszania się w odniesieniu do prywatnie zarządzanych platform internetowych oraz dostawców usług internetowych, przyjęta w dniu 7 grudnia 2011 r.</w:t>
      </w:r>
    </w:p>
  </w:endnote>
  <w:endnote w:id="53">
    <w:p w:rsidR="00263549" w:rsidRPr="005625FD" w:rsidRDefault="00263549" w:rsidP="00591EC1">
      <w:pPr>
        <w:pStyle w:val="Tekstprzypisukocowego"/>
        <w:spacing w:line="276" w:lineRule="auto"/>
        <w:jc w:val="both"/>
        <w:rPr>
          <w:lang w:val="pl-PL"/>
        </w:rPr>
      </w:pPr>
      <w:r w:rsidRPr="005625FD">
        <w:rPr>
          <w:rStyle w:val="Odwoanieprzypisukocowego"/>
        </w:rPr>
        <w:endnoteRef/>
      </w:r>
      <w:r w:rsidRPr="005625FD">
        <w:rPr>
          <w:lang w:val="pl-PL"/>
        </w:rPr>
        <w:t xml:space="preserve"> Innym przykładem może być sytuacja, w której obrońcy praw człowieka są celem ataków mediów prywatnych, które jednak de facto kontroluje rząd.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D17" w:rsidRDefault="00DA1D17">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664783"/>
      <w:docPartObj>
        <w:docPartGallery w:val="Page Numbers (Bottom of Page)"/>
        <w:docPartUnique/>
      </w:docPartObj>
    </w:sdtPr>
    <w:sdtEndPr/>
    <w:sdtContent>
      <w:p w:rsidR="00263549" w:rsidRDefault="00263549">
        <w:pPr>
          <w:pStyle w:val="Stopka"/>
          <w:jc w:val="center"/>
        </w:pPr>
        <w:r>
          <w:fldChar w:fldCharType="begin"/>
        </w:r>
        <w:r>
          <w:instrText>PAGE   \* MERGEFORMAT</w:instrText>
        </w:r>
        <w:r>
          <w:fldChar w:fldCharType="separate"/>
        </w:r>
        <w:r w:rsidR="00411959">
          <w:rPr>
            <w:noProof/>
          </w:rPr>
          <w:t>47</w:t>
        </w:r>
        <w:r>
          <w:fldChar w:fldCharType="end"/>
        </w:r>
      </w:p>
    </w:sdtContent>
  </w:sdt>
  <w:p w:rsidR="00263549" w:rsidRDefault="0026354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D17" w:rsidRDefault="00DA1D1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358" w:rsidRDefault="00702358" w:rsidP="00A34373">
      <w:pPr>
        <w:spacing w:after="0" w:line="240" w:lineRule="auto"/>
      </w:pPr>
      <w:r>
        <w:separator/>
      </w:r>
    </w:p>
  </w:footnote>
  <w:footnote w:type="continuationSeparator" w:id="0">
    <w:p w:rsidR="00702358" w:rsidRDefault="00702358" w:rsidP="00A343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D17" w:rsidRDefault="00DA1D17">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D17" w:rsidRDefault="00DA1D1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948" w:rsidRDefault="00A52948" w:rsidP="00A52948">
    <w:pPr>
      <w:pStyle w:val="Nagwek"/>
      <w:jc w:val="right"/>
    </w:pPr>
    <w:r>
      <w:rPr>
        <w:i/>
      </w:rPr>
      <w:t xml:space="preserve">Tłumaczenie przygotowane </w:t>
    </w:r>
    <w:r>
      <w:rPr>
        <w:i/>
      </w:rPr>
      <w:br/>
      <w:t>przez Ministerstwo Spraw Zagranicznych</w:t>
    </w:r>
  </w:p>
  <w:p w:rsidR="00A52948" w:rsidRDefault="00A52948">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6866"/>
    <w:multiLevelType w:val="hybridMultilevel"/>
    <w:tmpl w:val="E2464CB4"/>
    <w:lvl w:ilvl="0" w:tplc="189C8452">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
    <w:nsid w:val="0E3066BE"/>
    <w:multiLevelType w:val="hybridMultilevel"/>
    <w:tmpl w:val="85A69468"/>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2">
    <w:nsid w:val="0EF90A66"/>
    <w:multiLevelType w:val="hybridMultilevel"/>
    <w:tmpl w:val="2B8AB6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1B877DF"/>
    <w:multiLevelType w:val="hybridMultilevel"/>
    <w:tmpl w:val="818434D8"/>
    <w:lvl w:ilvl="0" w:tplc="04150013">
      <w:start w:val="1"/>
      <w:numFmt w:val="upperRoman"/>
      <w:lvlText w:val="%1."/>
      <w:lvlJc w:val="righ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6254C07"/>
    <w:multiLevelType w:val="hybridMultilevel"/>
    <w:tmpl w:val="4400001A"/>
    <w:lvl w:ilvl="0" w:tplc="22383186">
      <w:start w:val="1"/>
      <w:numFmt w:val="lowerRoman"/>
      <w:lvlText w:val="%1."/>
      <w:lvlJc w:val="left"/>
      <w:pPr>
        <w:ind w:left="1647" w:hanging="72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nsid w:val="1B181084"/>
    <w:multiLevelType w:val="hybridMultilevel"/>
    <w:tmpl w:val="CD8021EE"/>
    <w:lvl w:ilvl="0" w:tplc="04150019">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1782161"/>
    <w:multiLevelType w:val="hybridMultilevel"/>
    <w:tmpl w:val="A16C4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2277124"/>
    <w:multiLevelType w:val="hybridMultilevel"/>
    <w:tmpl w:val="DCC40A84"/>
    <w:lvl w:ilvl="0" w:tplc="C0CE12E2">
      <w:start w:val="9"/>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24F342FE"/>
    <w:multiLevelType w:val="hybridMultilevel"/>
    <w:tmpl w:val="F34EA644"/>
    <w:lvl w:ilvl="0" w:tplc="04150019">
      <w:start w:val="1"/>
      <w:numFmt w:val="lowerLetter"/>
      <w:lvlText w:val="%1."/>
      <w:lvlJc w:val="left"/>
      <w:pPr>
        <w:ind w:left="1080" w:hanging="360"/>
      </w:pPr>
      <w:rPr>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2902763E"/>
    <w:multiLevelType w:val="hybridMultilevel"/>
    <w:tmpl w:val="318299E6"/>
    <w:lvl w:ilvl="0" w:tplc="04150013">
      <w:start w:val="1"/>
      <w:numFmt w:val="upperRoman"/>
      <w:lvlText w:val="%1."/>
      <w:lvlJc w:val="right"/>
      <w:pPr>
        <w:ind w:left="567" w:hanging="360"/>
      </w:pPr>
    </w:lvl>
    <w:lvl w:ilvl="1" w:tplc="04150019">
      <w:start w:val="1"/>
      <w:numFmt w:val="lowerLetter"/>
      <w:lvlText w:val="%2."/>
      <w:lvlJc w:val="left"/>
      <w:pPr>
        <w:ind w:left="1287" w:hanging="360"/>
      </w:pPr>
    </w:lvl>
    <w:lvl w:ilvl="2" w:tplc="0415001B" w:tentative="1">
      <w:start w:val="1"/>
      <w:numFmt w:val="lowerRoman"/>
      <w:lvlText w:val="%3."/>
      <w:lvlJc w:val="right"/>
      <w:pPr>
        <w:ind w:left="2007" w:hanging="180"/>
      </w:pPr>
    </w:lvl>
    <w:lvl w:ilvl="3" w:tplc="0415000F" w:tentative="1">
      <w:start w:val="1"/>
      <w:numFmt w:val="decimal"/>
      <w:lvlText w:val="%4."/>
      <w:lvlJc w:val="left"/>
      <w:pPr>
        <w:ind w:left="2727" w:hanging="360"/>
      </w:pPr>
    </w:lvl>
    <w:lvl w:ilvl="4" w:tplc="04150019" w:tentative="1">
      <w:start w:val="1"/>
      <w:numFmt w:val="lowerLetter"/>
      <w:lvlText w:val="%5."/>
      <w:lvlJc w:val="left"/>
      <w:pPr>
        <w:ind w:left="3447" w:hanging="360"/>
      </w:pPr>
    </w:lvl>
    <w:lvl w:ilvl="5" w:tplc="0415001B" w:tentative="1">
      <w:start w:val="1"/>
      <w:numFmt w:val="lowerRoman"/>
      <w:lvlText w:val="%6."/>
      <w:lvlJc w:val="right"/>
      <w:pPr>
        <w:ind w:left="4167" w:hanging="180"/>
      </w:pPr>
    </w:lvl>
    <w:lvl w:ilvl="6" w:tplc="0415000F" w:tentative="1">
      <w:start w:val="1"/>
      <w:numFmt w:val="decimal"/>
      <w:lvlText w:val="%7."/>
      <w:lvlJc w:val="left"/>
      <w:pPr>
        <w:ind w:left="4887" w:hanging="360"/>
      </w:pPr>
    </w:lvl>
    <w:lvl w:ilvl="7" w:tplc="04150019" w:tentative="1">
      <w:start w:val="1"/>
      <w:numFmt w:val="lowerLetter"/>
      <w:lvlText w:val="%8."/>
      <w:lvlJc w:val="left"/>
      <w:pPr>
        <w:ind w:left="5607" w:hanging="360"/>
      </w:pPr>
    </w:lvl>
    <w:lvl w:ilvl="8" w:tplc="0415001B" w:tentative="1">
      <w:start w:val="1"/>
      <w:numFmt w:val="lowerRoman"/>
      <w:lvlText w:val="%9."/>
      <w:lvlJc w:val="right"/>
      <w:pPr>
        <w:ind w:left="6327" w:hanging="180"/>
      </w:pPr>
    </w:lvl>
  </w:abstractNum>
  <w:abstractNum w:abstractNumId="10">
    <w:nsid w:val="331E4A44"/>
    <w:multiLevelType w:val="hybridMultilevel"/>
    <w:tmpl w:val="C376FE8C"/>
    <w:lvl w:ilvl="0" w:tplc="24DC53AE">
      <w:start w:val="1"/>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357E6397"/>
    <w:multiLevelType w:val="hybridMultilevel"/>
    <w:tmpl w:val="AA10ACE8"/>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12">
    <w:nsid w:val="373117A4"/>
    <w:multiLevelType w:val="hybridMultilevel"/>
    <w:tmpl w:val="318299E6"/>
    <w:lvl w:ilvl="0" w:tplc="04150013">
      <w:start w:val="1"/>
      <w:numFmt w:val="upperRoman"/>
      <w:lvlText w:val="%1."/>
      <w:lvlJc w:val="righ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83050EA"/>
    <w:multiLevelType w:val="hybridMultilevel"/>
    <w:tmpl w:val="83B2D6FC"/>
    <w:lvl w:ilvl="0" w:tplc="A1AAA1EC">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nsid w:val="3A662363"/>
    <w:multiLevelType w:val="hybridMultilevel"/>
    <w:tmpl w:val="D10C5C9A"/>
    <w:lvl w:ilvl="0" w:tplc="49942EBA">
      <w:start w:val="1"/>
      <w:numFmt w:val="decimal"/>
      <w:lvlText w:val="%1."/>
      <w:lvlJc w:val="left"/>
      <w:pPr>
        <w:ind w:left="1068" w:hanging="360"/>
      </w:pPr>
      <w:rPr>
        <w:rFonts w:hint="default"/>
        <w:b w:val="0"/>
      </w:rPr>
    </w:lvl>
    <w:lvl w:ilvl="1" w:tplc="04150019">
      <w:start w:val="1"/>
      <w:numFmt w:val="lowerLetter"/>
      <w:lvlText w:val="%2."/>
      <w:lvlJc w:val="left"/>
      <w:pPr>
        <w:ind w:left="1799" w:hanging="360"/>
      </w:pPr>
    </w:lvl>
    <w:lvl w:ilvl="2" w:tplc="0415001B" w:tentative="1">
      <w:start w:val="1"/>
      <w:numFmt w:val="lowerRoman"/>
      <w:lvlText w:val="%3."/>
      <w:lvlJc w:val="right"/>
      <w:pPr>
        <w:ind w:left="2519" w:hanging="180"/>
      </w:pPr>
    </w:lvl>
    <w:lvl w:ilvl="3" w:tplc="0415000F" w:tentative="1">
      <w:start w:val="1"/>
      <w:numFmt w:val="decimal"/>
      <w:lvlText w:val="%4."/>
      <w:lvlJc w:val="left"/>
      <w:pPr>
        <w:ind w:left="3239" w:hanging="360"/>
      </w:pPr>
    </w:lvl>
    <w:lvl w:ilvl="4" w:tplc="04150019" w:tentative="1">
      <w:start w:val="1"/>
      <w:numFmt w:val="lowerLetter"/>
      <w:lvlText w:val="%5."/>
      <w:lvlJc w:val="left"/>
      <w:pPr>
        <w:ind w:left="3959" w:hanging="360"/>
      </w:pPr>
    </w:lvl>
    <w:lvl w:ilvl="5" w:tplc="0415001B" w:tentative="1">
      <w:start w:val="1"/>
      <w:numFmt w:val="lowerRoman"/>
      <w:lvlText w:val="%6."/>
      <w:lvlJc w:val="right"/>
      <w:pPr>
        <w:ind w:left="4679" w:hanging="180"/>
      </w:pPr>
    </w:lvl>
    <w:lvl w:ilvl="6" w:tplc="0415000F" w:tentative="1">
      <w:start w:val="1"/>
      <w:numFmt w:val="decimal"/>
      <w:lvlText w:val="%7."/>
      <w:lvlJc w:val="left"/>
      <w:pPr>
        <w:ind w:left="5399" w:hanging="360"/>
      </w:pPr>
    </w:lvl>
    <w:lvl w:ilvl="7" w:tplc="04150019" w:tentative="1">
      <w:start w:val="1"/>
      <w:numFmt w:val="lowerLetter"/>
      <w:lvlText w:val="%8."/>
      <w:lvlJc w:val="left"/>
      <w:pPr>
        <w:ind w:left="6119" w:hanging="360"/>
      </w:pPr>
    </w:lvl>
    <w:lvl w:ilvl="8" w:tplc="0415001B" w:tentative="1">
      <w:start w:val="1"/>
      <w:numFmt w:val="lowerRoman"/>
      <w:lvlText w:val="%9."/>
      <w:lvlJc w:val="right"/>
      <w:pPr>
        <w:ind w:left="6839" w:hanging="180"/>
      </w:pPr>
    </w:lvl>
  </w:abstractNum>
  <w:abstractNum w:abstractNumId="15">
    <w:nsid w:val="3BFF53C0"/>
    <w:multiLevelType w:val="hybridMultilevel"/>
    <w:tmpl w:val="86B8D45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45580615"/>
    <w:multiLevelType w:val="hybridMultilevel"/>
    <w:tmpl w:val="0DB062D6"/>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7">
    <w:nsid w:val="4C47051B"/>
    <w:multiLevelType w:val="hybridMultilevel"/>
    <w:tmpl w:val="213EB3BC"/>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8">
    <w:nsid w:val="4C867BDB"/>
    <w:multiLevelType w:val="hybridMultilevel"/>
    <w:tmpl w:val="2FDEC62A"/>
    <w:lvl w:ilvl="0" w:tplc="702CB304">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nsid w:val="4FFC42F2"/>
    <w:multiLevelType w:val="hybridMultilevel"/>
    <w:tmpl w:val="36B4FA7E"/>
    <w:lvl w:ilvl="0" w:tplc="41A85A08">
      <w:start w:val="1"/>
      <w:numFmt w:val="lowerLetter"/>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nsid w:val="56246EF0"/>
    <w:multiLevelType w:val="hybridMultilevel"/>
    <w:tmpl w:val="5BDEB830"/>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21">
    <w:nsid w:val="58BF730F"/>
    <w:multiLevelType w:val="hybridMultilevel"/>
    <w:tmpl w:val="F0523F7A"/>
    <w:lvl w:ilvl="0" w:tplc="44AE194C">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nsid w:val="5C3B15A7"/>
    <w:multiLevelType w:val="hybridMultilevel"/>
    <w:tmpl w:val="281880FE"/>
    <w:lvl w:ilvl="0" w:tplc="797E7072">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3">
    <w:nsid w:val="5F342AF6"/>
    <w:multiLevelType w:val="hybridMultilevel"/>
    <w:tmpl w:val="C34CC154"/>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4">
    <w:nsid w:val="64D91D15"/>
    <w:multiLevelType w:val="hybridMultilevel"/>
    <w:tmpl w:val="01EAE5E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5">
    <w:nsid w:val="6B00361B"/>
    <w:multiLevelType w:val="hybridMultilevel"/>
    <w:tmpl w:val="C5165C00"/>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6">
    <w:nsid w:val="6B1007B2"/>
    <w:multiLevelType w:val="hybridMultilevel"/>
    <w:tmpl w:val="C3205C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B171D37"/>
    <w:multiLevelType w:val="hybridMultilevel"/>
    <w:tmpl w:val="FF9220C2"/>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8">
    <w:nsid w:val="752610AB"/>
    <w:multiLevelType w:val="hybridMultilevel"/>
    <w:tmpl w:val="66FC6788"/>
    <w:lvl w:ilvl="0" w:tplc="04150001">
      <w:start w:val="1"/>
      <w:numFmt w:val="bullet"/>
      <w:lvlText w:val=""/>
      <w:lvlJc w:val="left"/>
      <w:pPr>
        <w:ind w:left="1647" w:hanging="360"/>
      </w:pPr>
      <w:rPr>
        <w:rFonts w:ascii="Symbol" w:hAnsi="Symbol" w:hint="default"/>
      </w:rPr>
    </w:lvl>
    <w:lvl w:ilvl="1" w:tplc="04150003" w:tentative="1">
      <w:start w:val="1"/>
      <w:numFmt w:val="bullet"/>
      <w:lvlText w:val="o"/>
      <w:lvlJc w:val="left"/>
      <w:pPr>
        <w:ind w:left="2367" w:hanging="360"/>
      </w:pPr>
      <w:rPr>
        <w:rFonts w:ascii="Courier New" w:hAnsi="Courier New" w:cs="Courier New" w:hint="default"/>
      </w:rPr>
    </w:lvl>
    <w:lvl w:ilvl="2" w:tplc="04150005" w:tentative="1">
      <w:start w:val="1"/>
      <w:numFmt w:val="bullet"/>
      <w:lvlText w:val=""/>
      <w:lvlJc w:val="left"/>
      <w:pPr>
        <w:ind w:left="3087" w:hanging="360"/>
      </w:pPr>
      <w:rPr>
        <w:rFonts w:ascii="Wingdings" w:hAnsi="Wingdings" w:hint="default"/>
      </w:rPr>
    </w:lvl>
    <w:lvl w:ilvl="3" w:tplc="04150001" w:tentative="1">
      <w:start w:val="1"/>
      <w:numFmt w:val="bullet"/>
      <w:lvlText w:val=""/>
      <w:lvlJc w:val="left"/>
      <w:pPr>
        <w:ind w:left="3807" w:hanging="360"/>
      </w:pPr>
      <w:rPr>
        <w:rFonts w:ascii="Symbol" w:hAnsi="Symbol" w:hint="default"/>
      </w:rPr>
    </w:lvl>
    <w:lvl w:ilvl="4" w:tplc="04150003" w:tentative="1">
      <w:start w:val="1"/>
      <w:numFmt w:val="bullet"/>
      <w:lvlText w:val="o"/>
      <w:lvlJc w:val="left"/>
      <w:pPr>
        <w:ind w:left="4527" w:hanging="360"/>
      </w:pPr>
      <w:rPr>
        <w:rFonts w:ascii="Courier New" w:hAnsi="Courier New" w:cs="Courier New" w:hint="default"/>
      </w:rPr>
    </w:lvl>
    <w:lvl w:ilvl="5" w:tplc="04150005" w:tentative="1">
      <w:start w:val="1"/>
      <w:numFmt w:val="bullet"/>
      <w:lvlText w:val=""/>
      <w:lvlJc w:val="left"/>
      <w:pPr>
        <w:ind w:left="5247" w:hanging="360"/>
      </w:pPr>
      <w:rPr>
        <w:rFonts w:ascii="Wingdings" w:hAnsi="Wingdings" w:hint="default"/>
      </w:rPr>
    </w:lvl>
    <w:lvl w:ilvl="6" w:tplc="04150001" w:tentative="1">
      <w:start w:val="1"/>
      <w:numFmt w:val="bullet"/>
      <w:lvlText w:val=""/>
      <w:lvlJc w:val="left"/>
      <w:pPr>
        <w:ind w:left="5967" w:hanging="360"/>
      </w:pPr>
      <w:rPr>
        <w:rFonts w:ascii="Symbol" w:hAnsi="Symbol" w:hint="default"/>
      </w:rPr>
    </w:lvl>
    <w:lvl w:ilvl="7" w:tplc="04150003" w:tentative="1">
      <w:start w:val="1"/>
      <w:numFmt w:val="bullet"/>
      <w:lvlText w:val="o"/>
      <w:lvlJc w:val="left"/>
      <w:pPr>
        <w:ind w:left="6687" w:hanging="360"/>
      </w:pPr>
      <w:rPr>
        <w:rFonts w:ascii="Courier New" w:hAnsi="Courier New" w:cs="Courier New" w:hint="default"/>
      </w:rPr>
    </w:lvl>
    <w:lvl w:ilvl="8" w:tplc="04150005" w:tentative="1">
      <w:start w:val="1"/>
      <w:numFmt w:val="bullet"/>
      <w:lvlText w:val=""/>
      <w:lvlJc w:val="left"/>
      <w:pPr>
        <w:ind w:left="7407" w:hanging="360"/>
      </w:pPr>
      <w:rPr>
        <w:rFonts w:ascii="Wingdings" w:hAnsi="Wingdings" w:hint="default"/>
      </w:rPr>
    </w:lvl>
  </w:abstractNum>
  <w:abstractNum w:abstractNumId="29">
    <w:nsid w:val="75EB1C54"/>
    <w:multiLevelType w:val="hybridMultilevel"/>
    <w:tmpl w:val="605AD974"/>
    <w:lvl w:ilvl="0" w:tplc="EA5C59E6">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0">
    <w:nsid w:val="792024D2"/>
    <w:multiLevelType w:val="hybridMultilevel"/>
    <w:tmpl w:val="6C7EAD1C"/>
    <w:lvl w:ilvl="0" w:tplc="EA984B68">
      <w:start w:val="5"/>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8"/>
  </w:num>
  <w:num w:numId="3">
    <w:abstractNumId w:val="3"/>
  </w:num>
  <w:num w:numId="4">
    <w:abstractNumId w:val="0"/>
  </w:num>
  <w:num w:numId="5">
    <w:abstractNumId w:val="13"/>
  </w:num>
  <w:num w:numId="6">
    <w:abstractNumId w:val="23"/>
  </w:num>
  <w:num w:numId="7">
    <w:abstractNumId w:val="1"/>
  </w:num>
  <w:num w:numId="8">
    <w:abstractNumId w:val="28"/>
  </w:num>
  <w:num w:numId="9">
    <w:abstractNumId w:val="20"/>
  </w:num>
  <w:num w:numId="10">
    <w:abstractNumId w:val="21"/>
  </w:num>
  <w:num w:numId="11">
    <w:abstractNumId w:val="4"/>
  </w:num>
  <w:num w:numId="12">
    <w:abstractNumId w:val="27"/>
  </w:num>
  <w:num w:numId="13">
    <w:abstractNumId w:val="29"/>
  </w:num>
  <w:num w:numId="14">
    <w:abstractNumId w:val="18"/>
  </w:num>
  <w:num w:numId="15">
    <w:abstractNumId w:val="22"/>
  </w:num>
  <w:num w:numId="16">
    <w:abstractNumId w:val="11"/>
  </w:num>
  <w:num w:numId="17">
    <w:abstractNumId w:val="30"/>
  </w:num>
  <w:num w:numId="18">
    <w:abstractNumId w:val="12"/>
  </w:num>
  <w:num w:numId="19">
    <w:abstractNumId w:val="14"/>
  </w:num>
  <w:num w:numId="20">
    <w:abstractNumId w:val="10"/>
  </w:num>
  <w:num w:numId="21">
    <w:abstractNumId w:val="19"/>
  </w:num>
  <w:num w:numId="22">
    <w:abstractNumId w:val="17"/>
  </w:num>
  <w:num w:numId="23">
    <w:abstractNumId w:val="16"/>
  </w:num>
  <w:num w:numId="24">
    <w:abstractNumId w:val="6"/>
  </w:num>
  <w:num w:numId="25">
    <w:abstractNumId w:val="26"/>
  </w:num>
  <w:num w:numId="26">
    <w:abstractNumId w:val="2"/>
  </w:num>
  <w:num w:numId="27">
    <w:abstractNumId w:val="7"/>
  </w:num>
  <w:num w:numId="28">
    <w:abstractNumId w:val="25"/>
  </w:num>
  <w:num w:numId="29">
    <w:abstractNumId w:val="24"/>
  </w:num>
  <w:num w:numId="30">
    <w:abstractNumId w:val="5"/>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FDA"/>
    <w:rsid w:val="000029CF"/>
    <w:rsid w:val="00004729"/>
    <w:rsid w:val="00011615"/>
    <w:rsid w:val="00011623"/>
    <w:rsid w:val="0001185A"/>
    <w:rsid w:val="00011D1F"/>
    <w:rsid w:val="00023D6E"/>
    <w:rsid w:val="000268D2"/>
    <w:rsid w:val="00036F3B"/>
    <w:rsid w:val="00045FD4"/>
    <w:rsid w:val="00052205"/>
    <w:rsid w:val="0006659D"/>
    <w:rsid w:val="0007191E"/>
    <w:rsid w:val="00073FEE"/>
    <w:rsid w:val="0007536B"/>
    <w:rsid w:val="00075D78"/>
    <w:rsid w:val="00091741"/>
    <w:rsid w:val="000954FF"/>
    <w:rsid w:val="00095CFC"/>
    <w:rsid w:val="0009770B"/>
    <w:rsid w:val="000A7CB4"/>
    <w:rsid w:val="000B6902"/>
    <w:rsid w:val="000C2238"/>
    <w:rsid w:val="000C7C5B"/>
    <w:rsid w:val="000D2494"/>
    <w:rsid w:val="000D5976"/>
    <w:rsid w:val="000E420D"/>
    <w:rsid w:val="000E5A29"/>
    <w:rsid w:val="000F5898"/>
    <w:rsid w:val="0010005D"/>
    <w:rsid w:val="001027EF"/>
    <w:rsid w:val="001053FF"/>
    <w:rsid w:val="001118D4"/>
    <w:rsid w:val="0012069A"/>
    <w:rsid w:val="00121A68"/>
    <w:rsid w:val="00126240"/>
    <w:rsid w:val="00130317"/>
    <w:rsid w:val="00133BC0"/>
    <w:rsid w:val="001344A6"/>
    <w:rsid w:val="00140984"/>
    <w:rsid w:val="001472F0"/>
    <w:rsid w:val="00156B7A"/>
    <w:rsid w:val="00160593"/>
    <w:rsid w:val="00160C08"/>
    <w:rsid w:val="00163553"/>
    <w:rsid w:val="00170C3C"/>
    <w:rsid w:val="00174C34"/>
    <w:rsid w:val="0018130F"/>
    <w:rsid w:val="001A226A"/>
    <w:rsid w:val="001A403E"/>
    <w:rsid w:val="001A5071"/>
    <w:rsid w:val="001A5C45"/>
    <w:rsid w:val="001A7B3F"/>
    <w:rsid w:val="001C14CC"/>
    <w:rsid w:val="001D5039"/>
    <w:rsid w:val="001E0470"/>
    <w:rsid w:val="001E0FDA"/>
    <w:rsid w:val="001F325C"/>
    <w:rsid w:val="001F3A19"/>
    <w:rsid w:val="00202B40"/>
    <w:rsid w:val="00210787"/>
    <w:rsid w:val="00216DB4"/>
    <w:rsid w:val="00220654"/>
    <w:rsid w:val="00221193"/>
    <w:rsid w:val="00224144"/>
    <w:rsid w:val="0022677B"/>
    <w:rsid w:val="00227022"/>
    <w:rsid w:val="002272C7"/>
    <w:rsid w:val="0023390B"/>
    <w:rsid w:val="00234A16"/>
    <w:rsid w:val="00250232"/>
    <w:rsid w:val="00263549"/>
    <w:rsid w:val="00265AB7"/>
    <w:rsid w:val="00277B72"/>
    <w:rsid w:val="0029566D"/>
    <w:rsid w:val="002B010A"/>
    <w:rsid w:val="002B16B8"/>
    <w:rsid w:val="002B434C"/>
    <w:rsid w:val="002B6B7B"/>
    <w:rsid w:val="002C45EE"/>
    <w:rsid w:val="002C57D3"/>
    <w:rsid w:val="002C7A2B"/>
    <w:rsid w:val="002F0B40"/>
    <w:rsid w:val="002F2078"/>
    <w:rsid w:val="002F47EB"/>
    <w:rsid w:val="002F4E6F"/>
    <w:rsid w:val="002F7D5A"/>
    <w:rsid w:val="00300C7D"/>
    <w:rsid w:val="0030148E"/>
    <w:rsid w:val="00302B98"/>
    <w:rsid w:val="00304F65"/>
    <w:rsid w:val="003161C8"/>
    <w:rsid w:val="00324170"/>
    <w:rsid w:val="00327E7C"/>
    <w:rsid w:val="00331B35"/>
    <w:rsid w:val="003327F6"/>
    <w:rsid w:val="0034443D"/>
    <w:rsid w:val="00344C06"/>
    <w:rsid w:val="00347E3F"/>
    <w:rsid w:val="00361550"/>
    <w:rsid w:val="00390C4D"/>
    <w:rsid w:val="00392164"/>
    <w:rsid w:val="0039219B"/>
    <w:rsid w:val="003953CF"/>
    <w:rsid w:val="003A067A"/>
    <w:rsid w:val="003A0D28"/>
    <w:rsid w:val="003A32BD"/>
    <w:rsid w:val="003B0155"/>
    <w:rsid w:val="003B4CF4"/>
    <w:rsid w:val="003C37A4"/>
    <w:rsid w:val="003C518A"/>
    <w:rsid w:val="003D4EF3"/>
    <w:rsid w:val="003D7C99"/>
    <w:rsid w:val="003E4F9A"/>
    <w:rsid w:val="003F2430"/>
    <w:rsid w:val="003F26A0"/>
    <w:rsid w:val="003F2E26"/>
    <w:rsid w:val="00400C16"/>
    <w:rsid w:val="004018B6"/>
    <w:rsid w:val="004045B8"/>
    <w:rsid w:val="004058FC"/>
    <w:rsid w:val="00411959"/>
    <w:rsid w:val="004147ED"/>
    <w:rsid w:val="00422DD2"/>
    <w:rsid w:val="0042546E"/>
    <w:rsid w:val="0043036D"/>
    <w:rsid w:val="004440BC"/>
    <w:rsid w:val="0044744A"/>
    <w:rsid w:val="00452465"/>
    <w:rsid w:val="00454528"/>
    <w:rsid w:val="00460409"/>
    <w:rsid w:val="004608FA"/>
    <w:rsid w:val="00477037"/>
    <w:rsid w:val="00481AA3"/>
    <w:rsid w:val="00493FBE"/>
    <w:rsid w:val="00497E38"/>
    <w:rsid w:val="004A683D"/>
    <w:rsid w:val="004A7BD6"/>
    <w:rsid w:val="004B05C9"/>
    <w:rsid w:val="004B0DD2"/>
    <w:rsid w:val="004C3A17"/>
    <w:rsid w:val="004D1A2F"/>
    <w:rsid w:val="004E1EEC"/>
    <w:rsid w:val="004E219F"/>
    <w:rsid w:val="004E3E1E"/>
    <w:rsid w:val="004E424E"/>
    <w:rsid w:val="004E6786"/>
    <w:rsid w:val="00501C5C"/>
    <w:rsid w:val="00505C18"/>
    <w:rsid w:val="00505F95"/>
    <w:rsid w:val="00511D62"/>
    <w:rsid w:val="005139CD"/>
    <w:rsid w:val="00515E08"/>
    <w:rsid w:val="005210EF"/>
    <w:rsid w:val="005256B9"/>
    <w:rsid w:val="005340F0"/>
    <w:rsid w:val="00544F2C"/>
    <w:rsid w:val="005603AE"/>
    <w:rsid w:val="0056139A"/>
    <w:rsid w:val="00561D40"/>
    <w:rsid w:val="005625FD"/>
    <w:rsid w:val="005644D8"/>
    <w:rsid w:val="00581F5B"/>
    <w:rsid w:val="00591EC1"/>
    <w:rsid w:val="00596A00"/>
    <w:rsid w:val="005A044E"/>
    <w:rsid w:val="005A3B66"/>
    <w:rsid w:val="005A4A82"/>
    <w:rsid w:val="005A4E54"/>
    <w:rsid w:val="005B409E"/>
    <w:rsid w:val="005C1DFD"/>
    <w:rsid w:val="005C5D92"/>
    <w:rsid w:val="005D03C7"/>
    <w:rsid w:val="005D4A09"/>
    <w:rsid w:val="005E6847"/>
    <w:rsid w:val="005E77AD"/>
    <w:rsid w:val="006017A1"/>
    <w:rsid w:val="00603924"/>
    <w:rsid w:val="00605733"/>
    <w:rsid w:val="00610473"/>
    <w:rsid w:val="006265DD"/>
    <w:rsid w:val="0062704A"/>
    <w:rsid w:val="00635937"/>
    <w:rsid w:val="00650C89"/>
    <w:rsid w:val="00650FBD"/>
    <w:rsid w:val="00655F13"/>
    <w:rsid w:val="00662DAC"/>
    <w:rsid w:val="00673DF6"/>
    <w:rsid w:val="00682B78"/>
    <w:rsid w:val="00684D57"/>
    <w:rsid w:val="00692539"/>
    <w:rsid w:val="00697C5C"/>
    <w:rsid w:val="006A3BF7"/>
    <w:rsid w:val="006B2F06"/>
    <w:rsid w:val="006B3C50"/>
    <w:rsid w:val="006B5BE9"/>
    <w:rsid w:val="006C5B27"/>
    <w:rsid w:val="006D1283"/>
    <w:rsid w:val="006D1AF6"/>
    <w:rsid w:val="006D53B2"/>
    <w:rsid w:val="006D661F"/>
    <w:rsid w:val="006F35FC"/>
    <w:rsid w:val="00702358"/>
    <w:rsid w:val="007052F3"/>
    <w:rsid w:val="007161F1"/>
    <w:rsid w:val="00717C6A"/>
    <w:rsid w:val="00723C98"/>
    <w:rsid w:val="007350C7"/>
    <w:rsid w:val="00741FA5"/>
    <w:rsid w:val="00745346"/>
    <w:rsid w:val="00746D7D"/>
    <w:rsid w:val="007710F1"/>
    <w:rsid w:val="007B171F"/>
    <w:rsid w:val="007B60E8"/>
    <w:rsid w:val="007C6F7A"/>
    <w:rsid w:val="007D12F7"/>
    <w:rsid w:val="007E2920"/>
    <w:rsid w:val="007E427C"/>
    <w:rsid w:val="007E4360"/>
    <w:rsid w:val="007E73F7"/>
    <w:rsid w:val="008124EC"/>
    <w:rsid w:val="0082154A"/>
    <w:rsid w:val="00821D37"/>
    <w:rsid w:val="0082601D"/>
    <w:rsid w:val="0083149F"/>
    <w:rsid w:val="00835532"/>
    <w:rsid w:val="00847C1C"/>
    <w:rsid w:val="00854A29"/>
    <w:rsid w:val="00860C5B"/>
    <w:rsid w:val="00866885"/>
    <w:rsid w:val="008708E1"/>
    <w:rsid w:val="00870A38"/>
    <w:rsid w:val="00871DAD"/>
    <w:rsid w:val="00882C04"/>
    <w:rsid w:val="00896522"/>
    <w:rsid w:val="00897D83"/>
    <w:rsid w:val="008A6763"/>
    <w:rsid w:val="008A71B2"/>
    <w:rsid w:val="008C5AED"/>
    <w:rsid w:val="008D1BC1"/>
    <w:rsid w:val="008D3228"/>
    <w:rsid w:val="008D61AC"/>
    <w:rsid w:val="008D7A43"/>
    <w:rsid w:val="008E77BE"/>
    <w:rsid w:val="008F1DEF"/>
    <w:rsid w:val="00900531"/>
    <w:rsid w:val="00902E8A"/>
    <w:rsid w:val="00912776"/>
    <w:rsid w:val="00913AB2"/>
    <w:rsid w:val="00925945"/>
    <w:rsid w:val="009327AB"/>
    <w:rsid w:val="00935D4C"/>
    <w:rsid w:val="009372BC"/>
    <w:rsid w:val="00944283"/>
    <w:rsid w:val="00955DD0"/>
    <w:rsid w:val="009666A8"/>
    <w:rsid w:val="009701E4"/>
    <w:rsid w:val="00975359"/>
    <w:rsid w:val="009816BD"/>
    <w:rsid w:val="00983352"/>
    <w:rsid w:val="009842F2"/>
    <w:rsid w:val="009969AA"/>
    <w:rsid w:val="009A1B97"/>
    <w:rsid w:val="009A5D58"/>
    <w:rsid w:val="009A7A08"/>
    <w:rsid w:val="009B00CE"/>
    <w:rsid w:val="009B2017"/>
    <w:rsid w:val="009B62F9"/>
    <w:rsid w:val="009D087D"/>
    <w:rsid w:val="009E7139"/>
    <w:rsid w:val="00A1080E"/>
    <w:rsid w:val="00A153FC"/>
    <w:rsid w:val="00A201F2"/>
    <w:rsid w:val="00A20520"/>
    <w:rsid w:val="00A228A0"/>
    <w:rsid w:val="00A27ED0"/>
    <w:rsid w:val="00A3378A"/>
    <w:rsid w:val="00A34373"/>
    <w:rsid w:val="00A37EF7"/>
    <w:rsid w:val="00A415E7"/>
    <w:rsid w:val="00A4266D"/>
    <w:rsid w:val="00A50BAB"/>
    <w:rsid w:val="00A52948"/>
    <w:rsid w:val="00A70E42"/>
    <w:rsid w:val="00A75D23"/>
    <w:rsid w:val="00A87007"/>
    <w:rsid w:val="00AA230B"/>
    <w:rsid w:val="00AA648C"/>
    <w:rsid w:val="00AA7D8D"/>
    <w:rsid w:val="00AB1AD6"/>
    <w:rsid w:val="00AB312B"/>
    <w:rsid w:val="00AC3371"/>
    <w:rsid w:val="00AD1B04"/>
    <w:rsid w:val="00AE4B3E"/>
    <w:rsid w:val="00AE6B85"/>
    <w:rsid w:val="00B02855"/>
    <w:rsid w:val="00B07C46"/>
    <w:rsid w:val="00B12E87"/>
    <w:rsid w:val="00B45A93"/>
    <w:rsid w:val="00B50005"/>
    <w:rsid w:val="00B50794"/>
    <w:rsid w:val="00B50AF5"/>
    <w:rsid w:val="00B547F0"/>
    <w:rsid w:val="00B549F4"/>
    <w:rsid w:val="00B5614B"/>
    <w:rsid w:val="00B5733D"/>
    <w:rsid w:val="00B667C6"/>
    <w:rsid w:val="00B74D02"/>
    <w:rsid w:val="00B759A1"/>
    <w:rsid w:val="00B815AA"/>
    <w:rsid w:val="00B81856"/>
    <w:rsid w:val="00B876B3"/>
    <w:rsid w:val="00B87EE6"/>
    <w:rsid w:val="00BA4547"/>
    <w:rsid w:val="00BA45BC"/>
    <w:rsid w:val="00BA479F"/>
    <w:rsid w:val="00BB0039"/>
    <w:rsid w:val="00BC3201"/>
    <w:rsid w:val="00BC353D"/>
    <w:rsid w:val="00BD0203"/>
    <w:rsid w:val="00BD2CB7"/>
    <w:rsid w:val="00BE5A15"/>
    <w:rsid w:val="00BF252D"/>
    <w:rsid w:val="00BF4DB3"/>
    <w:rsid w:val="00BF5691"/>
    <w:rsid w:val="00BF7062"/>
    <w:rsid w:val="00C06F68"/>
    <w:rsid w:val="00C10426"/>
    <w:rsid w:val="00C17C19"/>
    <w:rsid w:val="00C216E8"/>
    <w:rsid w:val="00C254C0"/>
    <w:rsid w:val="00C26197"/>
    <w:rsid w:val="00C35F67"/>
    <w:rsid w:val="00C406F8"/>
    <w:rsid w:val="00C51966"/>
    <w:rsid w:val="00C62310"/>
    <w:rsid w:val="00C83E4D"/>
    <w:rsid w:val="00C87158"/>
    <w:rsid w:val="00C9108C"/>
    <w:rsid w:val="00C9116F"/>
    <w:rsid w:val="00C92FCF"/>
    <w:rsid w:val="00C9516B"/>
    <w:rsid w:val="00C97145"/>
    <w:rsid w:val="00CA0E74"/>
    <w:rsid w:val="00CA4F45"/>
    <w:rsid w:val="00CA5B36"/>
    <w:rsid w:val="00CB69E4"/>
    <w:rsid w:val="00CC00E7"/>
    <w:rsid w:val="00CC2D0F"/>
    <w:rsid w:val="00CC4C64"/>
    <w:rsid w:val="00CE0899"/>
    <w:rsid w:val="00CF5D9F"/>
    <w:rsid w:val="00CF6135"/>
    <w:rsid w:val="00D030C5"/>
    <w:rsid w:val="00D1030D"/>
    <w:rsid w:val="00D13902"/>
    <w:rsid w:val="00D14C0E"/>
    <w:rsid w:val="00D1669B"/>
    <w:rsid w:val="00D17E2A"/>
    <w:rsid w:val="00D261CF"/>
    <w:rsid w:val="00D42049"/>
    <w:rsid w:val="00D45BFF"/>
    <w:rsid w:val="00D46BBA"/>
    <w:rsid w:val="00D476BE"/>
    <w:rsid w:val="00D479F2"/>
    <w:rsid w:val="00D56712"/>
    <w:rsid w:val="00D60564"/>
    <w:rsid w:val="00D61D22"/>
    <w:rsid w:val="00D70857"/>
    <w:rsid w:val="00D7717E"/>
    <w:rsid w:val="00DA1D17"/>
    <w:rsid w:val="00DA1F9A"/>
    <w:rsid w:val="00DA25EB"/>
    <w:rsid w:val="00DA6E36"/>
    <w:rsid w:val="00DB2D64"/>
    <w:rsid w:val="00DB61C6"/>
    <w:rsid w:val="00DC7F4D"/>
    <w:rsid w:val="00DE39CC"/>
    <w:rsid w:val="00DE3C75"/>
    <w:rsid w:val="00DE3E99"/>
    <w:rsid w:val="00DE3FAC"/>
    <w:rsid w:val="00DF2868"/>
    <w:rsid w:val="00DF4646"/>
    <w:rsid w:val="00DF57B3"/>
    <w:rsid w:val="00E04F2D"/>
    <w:rsid w:val="00E063DD"/>
    <w:rsid w:val="00E31DBE"/>
    <w:rsid w:val="00E36A86"/>
    <w:rsid w:val="00E42AB0"/>
    <w:rsid w:val="00E508A5"/>
    <w:rsid w:val="00E52534"/>
    <w:rsid w:val="00E5595E"/>
    <w:rsid w:val="00E56665"/>
    <w:rsid w:val="00E6765E"/>
    <w:rsid w:val="00E67D2F"/>
    <w:rsid w:val="00E72B5A"/>
    <w:rsid w:val="00E7396B"/>
    <w:rsid w:val="00E828B8"/>
    <w:rsid w:val="00E82CF4"/>
    <w:rsid w:val="00E92810"/>
    <w:rsid w:val="00E92FBF"/>
    <w:rsid w:val="00E93BB3"/>
    <w:rsid w:val="00E93DAB"/>
    <w:rsid w:val="00EA45B1"/>
    <w:rsid w:val="00EB0E5D"/>
    <w:rsid w:val="00EC5662"/>
    <w:rsid w:val="00ED1D8D"/>
    <w:rsid w:val="00ED7011"/>
    <w:rsid w:val="00EE303F"/>
    <w:rsid w:val="00EE6279"/>
    <w:rsid w:val="00EF07F0"/>
    <w:rsid w:val="00EF4468"/>
    <w:rsid w:val="00EF78D3"/>
    <w:rsid w:val="00EF7A1B"/>
    <w:rsid w:val="00F0042A"/>
    <w:rsid w:val="00F039AD"/>
    <w:rsid w:val="00F03B59"/>
    <w:rsid w:val="00F0611A"/>
    <w:rsid w:val="00F07ED1"/>
    <w:rsid w:val="00F12E14"/>
    <w:rsid w:val="00F179C7"/>
    <w:rsid w:val="00F24D7A"/>
    <w:rsid w:val="00F3256C"/>
    <w:rsid w:val="00F33ECC"/>
    <w:rsid w:val="00F41D89"/>
    <w:rsid w:val="00F53129"/>
    <w:rsid w:val="00F57077"/>
    <w:rsid w:val="00F62DEB"/>
    <w:rsid w:val="00F64573"/>
    <w:rsid w:val="00F758EA"/>
    <w:rsid w:val="00F76435"/>
    <w:rsid w:val="00F76A92"/>
    <w:rsid w:val="00F80A75"/>
    <w:rsid w:val="00F8748D"/>
    <w:rsid w:val="00F87801"/>
    <w:rsid w:val="00F96B14"/>
    <w:rsid w:val="00F97C59"/>
    <w:rsid w:val="00FB0693"/>
    <w:rsid w:val="00FC2C6D"/>
    <w:rsid w:val="00FC47CE"/>
    <w:rsid w:val="00FC6B27"/>
    <w:rsid w:val="00FD452A"/>
    <w:rsid w:val="00FF42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B0155"/>
    <w:pPr>
      <w:ind w:left="720"/>
      <w:contextualSpacing/>
    </w:pPr>
  </w:style>
  <w:style w:type="paragraph" w:styleId="Nagwek">
    <w:name w:val="header"/>
    <w:basedOn w:val="Normalny"/>
    <w:link w:val="NagwekZnak"/>
    <w:unhideWhenUsed/>
    <w:rsid w:val="00A34373"/>
    <w:pPr>
      <w:tabs>
        <w:tab w:val="center" w:pos="4536"/>
        <w:tab w:val="right" w:pos="9072"/>
      </w:tabs>
      <w:spacing w:after="0" w:line="240" w:lineRule="auto"/>
    </w:pPr>
  </w:style>
  <w:style w:type="character" w:customStyle="1" w:styleId="NagwekZnak">
    <w:name w:val="Nagłówek Znak"/>
    <w:basedOn w:val="Domylnaczcionkaakapitu"/>
    <w:link w:val="Nagwek"/>
    <w:rsid w:val="00A34373"/>
  </w:style>
  <w:style w:type="paragraph" w:styleId="Stopka">
    <w:name w:val="footer"/>
    <w:basedOn w:val="Normalny"/>
    <w:link w:val="StopkaZnak"/>
    <w:uiPriority w:val="99"/>
    <w:unhideWhenUsed/>
    <w:rsid w:val="00A343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4373"/>
  </w:style>
  <w:style w:type="paragraph" w:styleId="Tekstdymka">
    <w:name w:val="Balloon Text"/>
    <w:basedOn w:val="Normalny"/>
    <w:link w:val="TekstdymkaZnak"/>
    <w:uiPriority w:val="99"/>
    <w:semiHidden/>
    <w:unhideWhenUsed/>
    <w:rsid w:val="00A50B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0BAB"/>
    <w:rPr>
      <w:rFonts w:ascii="Tahoma" w:hAnsi="Tahoma" w:cs="Tahoma"/>
      <w:sz w:val="16"/>
      <w:szCs w:val="16"/>
    </w:rPr>
  </w:style>
  <w:style w:type="character" w:styleId="Odwoaniedokomentarza">
    <w:name w:val="annotation reference"/>
    <w:basedOn w:val="Domylnaczcionkaakapitu"/>
    <w:uiPriority w:val="99"/>
    <w:semiHidden/>
    <w:unhideWhenUsed/>
    <w:rsid w:val="00A50BAB"/>
    <w:rPr>
      <w:sz w:val="16"/>
      <w:szCs w:val="16"/>
    </w:rPr>
  </w:style>
  <w:style w:type="paragraph" w:styleId="Tekstkomentarza">
    <w:name w:val="annotation text"/>
    <w:basedOn w:val="Normalny"/>
    <w:link w:val="TekstkomentarzaZnak"/>
    <w:uiPriority w:val="99"/>
    <w:semiHidden/>
    <w:unhideWhenUsed/>
    <w:rsid w:val="00A50BA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50BAB"/>
    <w:rPr>
      <w:sz w:val="20"/>
      <w:szCs w:val="20"/>
    </w:rPr>
  </w:style>
  <w:style w:type="paragraph" w:styleId="Tematkomentarza">
    <w:name w:val="annotation subject"/>
    <w:basedOn w:val="Tekstkomentarza"/>
    <w:next w:val="Tekstkomentarza"/>
    <w:link w:val="TematkomentarzaZnak"/>
    <w:uiPriority w:val="99"/>
    <w:semiHidden/>
    <w:unhideWhenUsed/>
    <w:rsid w:val="00A50BAB"/>
    <w:rPr>
      <w:b/>
      <w:bCs/>
    </w:rPr>
  </w:style>
  <w:style w:type="character" w:customStyle="1" w:styleId="TematkomentarzaZnak">
    <w:name w:val="Temat komentarza Znak"/>
    <w:basedOn w:val="TekstkomentarzaZnak"/>
    <w:link w:val="Tematkomentarza"/>
    <w:uiPriority w:val="99"/>
    <w:semiHidden/>
    <w:rsid w:val="00A50BAB"/>
    <w:rPr>
      <w:b/>
      <w:bCs/>
      <w:sz w:val="20"/>
      <w:szCs w:val="20"/>
    </w:rPr>
  </w:style>
  <w:style w:type="paragraph" w:styleId="Tekstprzypisukocowego">
    <w:name w:val="endnote text"/>
    <w:basedOn w:val="Normalny"/>
    <w:link w:val="TekstprzypisukocowegoZnak"/>
    <w:uiPriority w:val="99"/>
    <w:semiHidden/>
    <w:unhideWhenUsed/>
    <w:rsid w:val="00591EC1"/>
    <w:pPr>
      <w:spacing w:after="0" w:line="240" w:lineRule="auto"/>
    </w:pPr>
    <w:rPr>
      <w:sz w:val="20"/>
      <w:szCs w:val="20"/>
      <w:lang w:val="en-GB"/>
    </w:rPr>
  </w:style>
  <w:style w:type="character" w:customStyle="1" w:styleId="TekstprzypisukocowegoZnak">
    <w:name w:val="Tekst przypisu końcowego Znak"/>
    <w:basedOn w:val="Domylnaczcionkaakapitu"/>
    <w:link w:val="Tekstprzypisukocowego"/>
    <w:uiPriority w:val="99"/>
    <w:semiHidden/>
    <w:rsid w:val="00591EC1"/>
    <w:rPr>
      <w:sz w:val="20"/>
      <w:szCs w:val="20"/>
      <w:lang w:val="en-GB"/>
    </w:rPr>
  </w:style>
  <w:style w:type="character" w:styleId="Odwoanieprzypisukocowego">
    <w:name w:val="endnote reference"/>
    <w:basedOn w:val="Domylnaczcionkaakapitu"/>
    <w:uiPriority w:val="99"/>
    <w:semiHidden/>
    <w:unhideWhenUsed/>
    <w:rsid w:val="00591EC1"/>
    <w:rPr>
      <w:vertAlign w:val="superscript"/>
    </w:rPr>
  </w:style>
  <w:style w:type="paragraph" w:styleId="Tekstprzypisudolnego">
    <w:name w:val="footnote text"/>
    <w:basedOn w:val="Normalny"/>
    <w:link w:val="TekstprzypisudolnegoZnak"/>
    <w:uiPriority w:val="99"/>
    <w:semiHidden/>
    <w:unhideWhenUsed/>
    <w:rsid w:val="00591EC1"/>
    <w:pPr>
      <w:spacing w:after="0" w:line="240" w:lineRule="auto"/>
    </w:pPr>
    <w:rPr>
      <w:sz w:val="20"/>
      <w:szCs w:val="20"/>
      <w:lang w:val="en-GB"/>
    </w:rPr>
  </w:style>
  <w:style w:type="character" w:customStyle="1" w:styleId="TekstprzypisudolnegoZnak">
    <w:name w:val="Tekst przypisu dolnego Znak"/>
    <w:basedOn w:val="Domylnaczcionkaakapitu"/>
    <w:link w:val="Tekstprzypisudolnego"/>
    <w:uiPriority w:val="99"/>
    <w:semiHidden/>
    <w:rsid w:val="00591EC1"/>
    <w:rPr>
      <w:sz w:val="20"/>
      <w:szCs w:val="20"/>
      <w:lang w:val="en-GB"/>
    </w:rPr>
  </w:style>
  <w:style w:type="paragraph" w:styleId="Poprawka">
    <w:name w:val="Revision"/>
    <w:hidden/>
    <w:uiPriority w:val="99"/>
    <w:semiHidden/>
    <w:rsid w:val="00591EC1"/>
    <w:pPr>
      <w:spacing w:after="0" w:line="240" w:lineRule="auto"/>
    </w:pPr>
    <w:rPr>
      <w:lang w:val="en-GB"/>
    </w:rPr>
  </w:style>
  <w:style w:type="character" w:styleId="Hipercze">
    <w:name w:val="Hyperlink"/>
    <w:basedOn w:val="Domylnaczcionkaakapitu"/>
    <w:uiPriority w:val="99"/>
    <w:unhideWhenUsed/>
    <w:rsid w:val="00591E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B0155"/>
    <w:pPr>
      <w:ind w:left="720"/>
      <w:contextualSpacing/>
    </w:pPr>
  </w:style>
  <w:style w:type="paragraph" w:styleId="Nagwek">
    <w:name w:val="header"/>
    <w:basedOn w:val="Normalny"/>
    <w:link w:val="NagwekZnak"/>
    <w:unhideWhenUsed/>
    <w:rsid w:val="00A34373"/>
    <w:pPr>
      <w:tabs>
        <w:tab w:val="center" w:pos="4536"/>
        <w:tab w:val="right" w:pos="9072"/>
      </w:tabs>
      <w:spacing w:after="0" w:line="240" w:lineRule="auto"/>
    </w:pPr>
  </w:style>
  <w:style w:type="character" w:customStyle="1" w:styleId="NagwekZnak">
    <w:name w:val="Nagłówek Znak"/>
    <w:basedOn w:val="Domylnaczcionkaakapitu"/>
    <w:link w:val="Nagwek"/>
    <w:rsid w:val="00A34373"/>
  </w:style>
  <w:style w:type="paragraph" w:styleId="Stopka">
    <w:name w:val="footer"/>
    <w:basedOn w:val="Normalny"/>
    <w:link w:val="StopkaZnak"/>
    <w:uiPriority w:val="99"/>
    <w:unhideWhenUsed/>
    <w:rsid w:val="00A3437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34373"/>
  </w:style>
  <w:style w:type="paragraph" w:styleId="Tekstdymka">
    <w:name w:val="Balloon Text"/>
    <w:basedOn w:val="Normalny"/>
    <w:link w:val="TekstdymkaZnak"/>
    <w:uiPriority w:val="99"/>
    <w:semiHidden/>
    <w:unhideWhenUsed/>
    <w:rsid w:val="00A50BA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50BAB"/>
    <w:rPr>
      <w:rFonts w:ascii="Tahoma" w:hAnsi="Tahoma" w:cs="Tahoma"/>
      <w:sz w:val="16"/>
      <w:szCs w:val="16"/>
    </w:rPr>
  </w:style>
  <w:style w:type="character" w:styleId="Odwoaniedokomentarza">
    <w:name w:val="annotation reference"/>
    <w:basedOn w:val="Domylnaczcionkaakapitu"/>
    <w:uiPriority w:val="99"/>
    <w:semiHidden/>
    <w:unhideWhenUsed/>
    <w:rsid w:val="00A50BAB"/>
    <w:rPr>
      <w:sz w:val="16"/>
      <w:szCs w:val="16"/>
    </w:rPr>
  </w:style>
  <w:style w:type="paragraph" w:styleId="Tekstkomentarza">
    <w:name w:val="annotation text"/>
    <w:basedOn w:val="Normalny"/>
    <w:link w:val="TekstkomentarzaZnak"/>
    <w:uiPriority w:val="99"/>
    <w:semiHidden/>
    <w:unhideWhenUsed/>
    <w:rsid w:val="00A50BA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50BAB"/>
    <w:rPr>
      <w:sz w:val="20"/>
      <w:szCs w:val="20"/>
    </w:rPr>
  </w:style>
  <w:style w:type="paragraph" w:styleId="Tematkomentarza">
    <w:name w:val="annotation subject"/>
    <w:basedOn w:val="Tekstkomentarza"/>
    <w:next w:val="Tekstkomentarza"/>
    <w:link w:val="TematkomentarzaZnak"/>
    <w:uiPriority w:val="99"/>
    <w:semiHidden/>
    <w:unhideWhenUsed/>
    <w:rsid w:val="00A50BAB"/>
    <w:rPr>
      <w:b/>
      <w:bCs/>
    </w:rPr>
  </w:style>
  <w:style w:type="character" w:customStyle="1" w:styleId="TematkomentarzaZnak">
    <w:name w:val="Temat komentarza Znak"/>
    <w:basedOn w:val="TekstkomentarzaZnak"/>
    <w:link w:val="Tematkomentarza"/>
    <w:uiPriority w:val="99"/>
    <w:semiHidden/>
    <w:rsid w:val="00A50BAB"/>
    <w:rPr>
      <w:b/>
      <w:bCs/>
      <w:sz w:val="20"/>
      <w:szCs w:val="20"/>
    </w:rPr>
  </w:style>
  <w:style w:type="paragraph" w:styleId="Tekstprzypisukocowego">
    <w:name w:val="endnote text"/>
    <w:basedOn w:val="Normalny"/>
    <w:link w:val="TekstprzypisukocowegoZnak"/>
    <w:uiPriority w:val="99"/>
    <w:semiHidden/>
    <w:unhideWhenUsed/>
    <w:rsid w:val="00591EC1"/>
    <w:pPr>
      <w:spacing w:after="0" w:line="240" w:lineRule="auto"/>
    </w:pPr>
    <w:rPr>
      <w:sz w:val="20"/>
      <w:szCs w:val="20"/>
      <w:lang w:val="en-GB"/>
    </w:rPr>
  </w:style>
  <w:style w:type="character" w:customStyle="1" w:styleId="TekstprzypisukocowegoZnak">
    <w:name w:val="Tekst przypisu końcowego Znak"/>
    <w:basedOn w:val="Domylnaczcionkaakapitu"/>
    <w:link w:val="Tekstprzypisukocowego"/>
    <w:uiPriority w:val="99"/>
    <w:semiHidden/>
    <w:rsid w:val="00591EC1"/>
    <w:rPr>
      <w:sz w:val="20"/>
      <w:szCs w:val="20"/>
      <w:lang w:val="en-GB"/>
    </w:rPr>
  </w:style>
  <w:style w:type="character" w:styleId="Odwoanieprzypisukocowego">
    <w:name w:val="endnote reference"/>
    <w:basedOn w:val="Domylnaczcionkaakapitu"/>
    <w:uiPriority w:val="99"/>
    <w:semiHidden/>
    <w:unhideWhenUsed/>
    <w:rsid w:val="00591EC1"/>
    <w:rPr>
      <w:vertAlign w:val="superscript"/>
    </w:rPr>
  </w:style>
  <w:style w:type="paragraph" w:styleId="Tekstprzypisudolnego">
    <w:name w:val="footnote text"/>
    <w:basedOn w:val="Normalny"/>
    <w:link w:val="TekstprzypisudolnegoZnak"/>
    <w:uiPriority w:val="99"/>
    <w:semiHidden/>
    <w:unhideWhenUsed/>
    <w:rsid w:val="00591EC1"/>
    <w:pPr>
      <w:spacing w:after="0" w:line="240" w:lineRule="auto"/>
    </w:pPr>
    <w:rPr>
      <w:sz w:val="20"/>
      <w:szCs w:val="20"/>
      <w:lang w:val="en-GB"/>
    </w:rPr>
  </w:style>
  <w:style w:type="character" w:customStyle="1" w:styleId="TekstprzypisudolnegoZnak">
    <w:name w:val="Tekst przypisu dolnego Znak"/>
    <w:basedOn w:val="Domylnaczcionkaakapitu"/>
    <w:link w:val="Tekstprzypisudolnego"/>
    <w:uiPriority w:val="99"/>
    <w:semiHidden/>
    <w:rsid w:val="00591EC1"/>
    <w:rPr>
      <w:sz w:val="20"/>
      <w:szCs w:val="20"/>
      <w:lang w:val="en-GB"/>
    </w:rPr>
  </w:style>
  <w:style w:type="paragraph" w:styleId="Poprawka">
    <w:name w:val="Revision"/>
    <w:hidden/>
    <w:uiPriority w:val="99"/>
    <w:semiHidden/>
    <w:rsid w:val="00591EC1"/>
    <w:pPr>
      <w:spacing w:after="0" w:line="240" w:lineRule="auto"/>
    </w:pPr>
    <w:rPr>
      <w:lang w:val="en-GB"/>
    </w:rPr>
  </w:style>
  <w:style w:type="character" w:styleId="Hipercze">
    <w:name w:val="Hyperlink"/>
    <w:basedOn w:val="Domylnaczcionkaakapitu"/>
    <w:uiPriority w:val="99"/>
    <w:unhideWhenUsed/>
    <w:rsid w:val="00591E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491191">
      <w:bodyDiv w:val="1"/>
      <w:marLeft w:val="0"/>
      <w:marRight w:val="0"/>
      <w:marTop w:val="0"/>
      <w:marBottom w:val="0"/>
      <w:divBdr>
        <w:top w:val="none" w:sz="0" w:space="0" w:color="auto"/>
        <w:left w:val="none" w:sz="0" w:space="0" w:color="auto"/>
        <w:bottom w:val="none" w:sz="0" w:space="0" w:color="auto"/>
        <w:right w:val="none" w:sz="0" w:space="0" w:color="auto"/>
      </w:divBdr>
    </w:div>
    <w:div w:id="103222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EB028-8204-4998-AA76-A2033B81A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23864</Words>
  <Characters>143187</Characters>
  <Application>Microsoft Office Word</Application>
  <DocSecurity>0</DocSecurity>
  <Lines>1193</Lines>
  <Paragraphs>333</Paragraphs>
  <ScaleCrop>false</ScaleCrop>
  <LinksUpToDate>false</LinksUpToDate>
  <CharactersWithSpaces>166718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2017-02-14T10:31:00Z</dcterms:created>
  <dcterms:modified xsi:type="dcterms:W3CDTF">2017-02-14T10:31:00Z</dcterms:modified>
</cp:coreProperties>
</file>